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3979545</wp:posOffset>
            </wp:positionH>
            <wp:positionV relativeFrom="paragraph">
              <wp:posOffset>-624840</wp:posOffset>
            </wp:positionV>
            <wp:extent cx="57785" cy="638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741680</wp:posOffset>
            </wp:positionV>
            <wp:extent cx="6993890" cy="51149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1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Tam Benson Bing Chung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Hello Group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MOMO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APT 16A, DRAGON VIEW, 39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MACDONNELL ROAD, MID LEVELS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HONG KONG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000000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7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1,563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248,609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04/15/2032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shares, 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US$0.0001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-2266950</wp:posOffset>
            </wp:positionV>
            <wp:extent cx="29210" cy="22720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72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represents two Class A ordinary shares.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a contingent right to receive, when vested, one Class A ordinary share.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share units were vested on April 15, 2026.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Benson Bing Chung Tam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04/16/2026</w:t>
            </w:r>
          </w:p>
        </w:tc>
      </w:tr>
      <w:tr>
        <w:trPr>
          <w:trHeight w:val="226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9968" TargetMode="External"/><Relationship Id="rId14" Type="http://schemas.openxmlformats.org/officeDocument/2006/relationships/hyperlink" Target="http://www.sec.gov/cgi-bin/browse-edgar?action=getcompany&amp;CIK=0001610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2026-04-16T05:33:58Z</dcterms:created>
  <dcterms:modified xsi:type="dcterms:W3CDTF">2026-04-16T05:33:58Z</dcterms:modified>
</cp:coreProperties>
</file>