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December 8, 2014</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333-199996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Momo Inc.</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114935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45"/>
              <w:spacing w:after="0"/>
              <w:rPr>
                <w:sz w:val="20"/>
                <w:szCs w:val="20"/>
                <w:color w:val="auto"/>
              </w:rPr>
            </w:pPr>
            <w:r>
              <w:rPr>
                <w:rFonts w:ascii="Arial" w:cs="Arial" w:eastAsia="Arial" w:hAnsi="Arial"/>
                <w:sz w:val="16"/>
                <w:szCs w:val="16"/>
                <w:b w:val="1"/>
                <w:bCs w:val="1"/>
                <w:color w:val="auto"/>
                <w:w w:val="91"/>
              </w:rPr>
              <w:t>Cayman Islands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7372</w:t>
            </w:r>
          </w:p>
        </w:tc>
        <w:tc>
          <w:tcPr>
            <w:tcW w:w="2500" w:type="dxa"/>
            <w:vAlign w:val="bottom"/>
          </w:tcPr>
          <w:p>
            <w:pPr>
              <w:jc w:val="center"/>
              <w:ind w:left="98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jc w:val="center"/>
        <w:spacing w:after="0" w:line="210" w:lineRule="auto"/>
        <w:rPr>
          <w:sz w:val="20"/>
          <w:szCs w:val="20"/>
          <w:color w:val="auto"/>
        </w:rPr>
      </w:pPr>
      <w:r>
        <w:rPr>
          <w:rFonts w:ascii="Arial" w:cs="Arial" w:eastAsia="Arial" w:hAnsi="Arial"/>
          <w:sz w:val="16"/>
          <w:szCs w:val="16"/>
          <w:b w:val="1"/>
          <w:bCs w:val="1"/>
          <w:color w:val="auto"/>
        </w:rPr>
        <w:t>20</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Floor, Block B</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Tower 2, Wangjing SOHO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No.1 Futongdong Street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Chaoyang District, Beijing 100102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People’s Republic of China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+86-10-5731-0567</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Law Debenture Corporate Services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400 Madison Avenue, Suite 4D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10017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+1 212 750-6474</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6"/>
        </w:trPr>
        <w:tc>
          <w:tcPr>
            <w:tcW w:w="3560" w:type="dxa"/>
            <w:vAlign w:val="bottom"/>
          </w:tcPr>
          <w:p>
            <w:pPr>
              <w:spacing w:after="0"/>
              <w:rPr>
                <w:sz w:val="17"/>
                <w:szCs w:val="17"/>
                <w:color w:val="auto"/>
              </w:rPr>
            </w:pPr>
          </w:p>
        </w:tc>
        <w:tc>
          <w:tcPr>
            <w:tcW w:w="5440" w:type="dxa"/>
            <w:vAlign w:val="bottom"/>
          </w:tcPr>
          <w:p>
            <w:pPr>
              <w:ind w:left="480"/>
              <w:spacing w:after="0"/>
              <w:rPr>
                <w:sz w:val="20"/>
                <w:szCs w:val="20"/>
                <w:color w:val="auto"/>
              </w:rPr>
            </w:pPr>
            <w:r>
              <w:rPr>
                <w:rFonts w:ascii="Arial" w:cs="Arial" w:eastAsia="Arial" w:hAnsi="Arial"/>
                <w:sz w:val="16"/>
                <w:szCs w:val="16"/>
                <w:b w:val="1"/>
                <w:bCs w:val="1"/>
                <w:i w:val="1"/>
                <w:iCs w:val="1"/>
                <w:color w:val="auto"/>
              </w:rPr>
              <w:t>Copies to:</w:t>
            </w:r>
          </w:p>
        </w:tc>
      </w:tr>
      <w:tr>
        <w:trPr>
          <w:trHeight w:val="235"/>
        </w:trPr>
        <w:tc>
          <w:tcPr>
            <w:tcW w:w="3560" w:type="dxa"/>
            <w:vAlign w:val="bottom"/>
          </w:tcPr>
          <w:p>
            <w:pPr>
              <w:jc w:val="center"/>
              <w:ind w:right="379"/>
              <w:spacing w:after="0"/>
              <w:rPr>
                <w:sz w:val="20"/>
                <w:szCs w:val="20"/>
                <w:color w:val="auto"/>
              </w:rPr>
            </w:pPr>
            <w:r>
              <w:rPr>
                <w:rFonts w:ascii="Arial" w:cs="Arial" w:eastAsia="Arial" w:hAnsi="Arial"/>
                <w:sz w:val="16"/>
                <w:szCs w:val="16"/>
                <w:b w:val="1"/>
                <w:bCs w:val="1"/>
                <w:color w:val="auto"/>
                <w:w w:val="91"/>
              </w:rPr>
              <w:t>Z. Julie Gao, Esq.</w:t>
            </w:r>
          </w:p>
        </w:tc>
        <w:tc>
          <w:tcPr>
            <w:tcW w:w="5440" w:type="dxa"/>
            <w:vAlign w:val="bottom"/>
          </w:tcPr>
          <w:p>
            <w:pPr>
              <w:jc w:val="center"/>
              <w:ind w:left="1979"/>
              <w:spacing w:after="0"/>
              <w:rPr>
                <w:sz w:val="20"/>
                <w:szCs w:val="20"/>
                <w:color w:val="auto"/>
              </w:rPr>
            </w:pPr>
            <w:r>
              <w:rPr>
                <w:rFonts w:ascii="Arial" w:cs="Arial" w:eastAsia="Arial" w:hAnsi="Arial"/>
                <w:sz w:val="16"/>
                <w:szCs w:val="16"/>
                <w:b w:val="1"/>
                <w:bCs w:val="1"/>
                <w:color w:val="auto"/>
                <w:w w:val="92"/>
              </w:rPr>
              <w:t>David T. Zhang, Esq.</w:t>
            </w:r>
          </w:p>
        </w:tc>
      </w:tr>
      <w:tr>
        <w:trPr>
          <w:trHeight w:val="203"/>
        </w:trPr>
        <w:tc>
          <w:tcPr>
            <w:tcW w:w="3560" w:type="dxa"/>
            <w:vAlign w:val="bottom"/>
          </w:tcPr>
          <w:p>
            <w:pPr>
              <w:jc w:val="center"/>
              <w:ind w:right="379"/>
              <w:spacing w:after="0"/>
              <w:rPr>
                <w:sz w:val="20"/>
                <w:szCs w:val="20"/>
                <w:color w:val="auto"/>
              </w:rPr>
            </w:pPr>
            <w:r>
              <w:rPr>
                <w:rFonts w:ascii="Arial" w:cs="Arial" w:eastAsia="Arial" w:hAnsi="Arial"/>
                <w:sz w:val="16"/>
                <w:szCs w:val="16"/>
                <w:b w:val="1"/>
                <w:bCs w:val="1"/>
                <w:color w:val="auto"/>
                <w:w w:val="94"/>
              </w:rPr>
              <w:t>Skadden, Arps, Slate, Meagher &amp; Flom LLP</w:t>
            </w:r>
          </w:p>
        </w:tc>
        <w:tc>
          <w:tcPr>
            <w:tcW w:w="544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Benjamin Su, Esq.</w:t>
            </w:r>
          </w:p>
        </w:tc>
      </w:tr>
      <w:tr>
        <w:trPr>
          <w:trHeight w:val="203"/>
        </w:trPr>
        <w:tc>
          <w:tcPr>
            <w:tcW w:w="3560" w:type="dxa"/>
            <w:vAlign w:val="bottom"/>
          </w:tcPr>
          <w:p>
            <w:pPr>
              <w:jc w:val="center"/>
              <w:ind w:right="379"/>
              <w:spacing w:after="0"/>
              <w:rPr>
                <w:sz w:val="20"/>
                <w:szCs w:val="20"/>
                <w:color w:val="auto"/>
              </w:rPr>
            </w:pPr>
            <w:r>
              <w:rPr>
                <w:rFonts w:ascii="Arial" w:cs="Arial" w:eastAsia="Arial" w:hAnsi="Arial"/>
                <w:sz w:val="16"/>
                <w:szCs w:val="16"/>
                <w:b w:val="1"/>
                <w:bCs w:val="1"/>
                <w:color w:val="auto"/>
                <w:w w:val="93"/>
              </w:rPr>
              <w:t>c/o 42/F, Edinburgh Tower, The Landmark</w:t>
            </w:r>
          </w:p>
        </w:tc>
        <w:tc>
          <w:tcPr>
            <w:tcW w:w="5440" w:type="dxa"/>
            <w:vAlign w:val="bottom"/>
          </w:tcPr>
          <w:p>
            <w:pPr>
              <w:jc w:val="center"/>
              <w:ind w:left="1979"/>
              <w:spacing w:after="0"/>
              <w:rPr>
                <w:sz w:val="20"/>
                <w:szCs w:val="20"/>
                <w:color w:val="auto"/>
              </w:rPr>
            </w:pPr>
            <w:r>
              <w:rPr>
                <w:rFonts w:ascii="Arial" w:cs="Arial" w:eastAsia="Arial" w:hAnsi="Arial"/>
                <w:sz w:val="16"/>
                <w:szCs w:val="16"/>
                <w:b w:val="1"/>
                <w:bCs w:val="1"/>
                <w:color w:val="auto"/>
                <w:w w:val="90"/>
              </w:rPr>
              <w:t>Benjamin W. James, Esq.</w:t>
            </w:r>
          </w:p>
        </w:tc>
      </w:tr>
      <w:tr>
        <w:trPr>
          <w:trHeight w:val="203"/>
        </w:trPr>
        <w:tc>
          <w:tcPr>
            <w:tcW w:w="3560" w:type="dxa"/>
            <w:vAlign w:val="bottom"/>
          </w:tcPr>
          <w:p>
            <w:pPr>
              <w:jc w:val="center"/>
              <w:ind w:right="379"/>
              <w:spacing w:after="0"/>
              <w:rPr>
                <w:sz w:val="20"/>
                <w:szCs w:val="20"/>
                <w:color w:val="auto"/>
              </w:rPr>
            </w:pPr>
            <w:r>
              <w:rPr>
                <w:rFonts w:ascii="Arial" w:cs="Arial" w:eastAsia="Arial" w:hAnsi="Arial"/>
                <w:sz w:val="16"/>
                <w:szCs w:val="16"/>
                <w:b w:val="1"/>
                <w:bCs w:val="1"/>
                <w:color w:val="auto"/>
                <w:w w:val="91"/>
              </w:rPr>
              <w:t>15 Queen’s Road Central</w:t>
            </w:r>
          </w:p>
        </w:tc>
        <w:tc>
          <w:tcPr>
            <w:tcW w:w="5440" w:type="dxa"/>
            <w:vAlign w:val="bottom"/>
          </w:tcPr>
          <w:p>
            <w:pPr>
              <w:jc w:val="center"/>
              <w:ind w:left="1979"/>
              <w:spacing w:after="0"/>
              <w:rPr>
                <w:sz w:val="20"/>
                <w:szCs w:val="20"/>
                <w:color w:val="auto"/>
              </w:rPr>
            </w:pPr>
            <w:r>
              <w:rPr>
                <w:rFonts w:ascii="Arial" w:cs="Arial" w:eastAsia="Arial" w:hAnsi="Arial"/>
                <w:sz w:val="16"/>
                <w:szCs w:val="16"/>
                <w:b w:val="1"/>
                <w:bCs w:val="1"/>
                <w:color w:val="auto"/>
                <w:w w:val="97"/>
              </w:rPr>
              <w:t>Kirkland &amp; Ellis International LLP</w:t>
            </w:r>
          </w:p>
        </w:tc>
      </w:tr>
      <w:tr>
        <w:trPr>
          <w:trHeight w:val="203"/>
        </w:trPr>
        <w:tc>
          <w:tcPr>
            <w:tcW w:w="3560" w:type="dxa"/>
            <w:vAlign w:val="bottom"/>
          </w:tcPr>
          <w:p>
            <w:pPr>
              <w:jc w:val="center"/>
              <w:ind w:right="379"/>
              <w:spacing w:after="0"/>
              <w:rPr>
                <w:sz w:val="20"/>
                <w:szCs w:val="20"/>
                <w:color w:val="auto"/>
              </w:rPr>
            </w:pPr>
            <w:r>
              <w:rPr>
                <w:rFonts w:ascii="Arial" w:cs="Arial" w:eastAsia="Arial" w:hAnsi="Arial"/>
                <w:sz w:val="16"/>
                <w:szCs w:val="16"/>
                <w:b w:val="1"/>
                <w:bCs w:val="1"/>
                <w:color w:val="auto"/>
                <w:w w:val="90"/>
              </w:rPr>
              <w:t>Hong Kong</w:t>
            </w:r>
          </w:p>
        </w:tc>
        <w:tc>
          <w:tcPr>
            <w:tcW w:w="5440" w:type="dxa"/>
            <w:vAlign w:val="bottom"/>
          </w:tcPr>
          <w:p>
            <w:pPr>
              <w:jc w:val="center"/>
              <w:ind w:left="1979"/>
              <w:spacing w:after="0"/>
              <w:rPr>
                <w:sz w:val="20"/>
                <w:szCs w:val="20"/>
                <w:color w:val="auto"/>
              </w:rPr>
            </w:pPr>
            <w:r>
              <w:rPr>
                <w:rFonts w:ascii="Arial" w:cs="Arial" w:eastAsia="Arial" w:hAnsi="Arial"/>
                <w:sz w:val="16"/>
                <w:szCs w:val="16"/>
                <w:b w:val="1"/>
                <w:bCs w:val="1"/>
                <w:color w:val="auto"/>
                <w:w w:val="92"/>
              </w:rPr>
              <w:t>c/o 26th Floor, Gloucester Tower, The Landmark</w:t>
            </w:r>
          </w:p>
        </w:tc>
      </w:tr>
      <w:tr>
        <w:trPr>
          <w:trHeight w:val="203"/>
        </w:trPr>
        <w:tc>
          <w:tcPr>
            <w:tcW w:w="356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+852 3740-4700</w:t>
            </w:r>
          </w:p>
        </w:tc>
        <w:tc>
          <w:tcPr>
            <w:tcW w:w="5440" w:type="dxa"/>
            <w:vAlign w:val="bottom"/>
          </w:tcPr>
          <w:p>
            <w:pPr>
              <w:jc w:val="center"/>
              <w:ind w:left="1979"/>
              <w:spacing w:after="0"/>
              <w:rPr>
                <w:sz w:val="20"/>
                <w:szCs w:val="20"/>
                <w:color w:val="auto"/>
              </w:rPr>
            </w:pPr>
            <w:r>
              <w:rPr>
                <w:rFonts w:ascii="Arial" w:cs="Arial" w:eastAsia="Arial" w:hAnsi="Arial"/>
                <w:sz w:val="16"/>
                <w:szCs w:val="16"/>
                <w:b w:val="1"/>
                <w:bCs w:val="1"/>
                <w:color w:val="auto"/>
                <w:w w:val="92"/>
              </w:rPr>
              <w:t>15 Queen’s Road Central, Hong Kong</w:t>
            </w:r>
          </w:p>
        </w:tc>
      </w:tr>
      <w:tr>
        <w:trPr>
          <w:trHeight w:val="210"/>
        </w:trPr>
        <w:tc>
          <w:tcPr>
            <w:tcW w:w="3560" w:type="dxa"/>
            <w:vAlign w:val="bottom"/>
          </w:tcPr>
          <w:p>
            <w:pPr>
              <w:spacing w:after="0"/>
              <w:rPr>
                <w:sz w:val="18"/>
                <w:szCs w:val="18"/>
                <w:color w:val="auto"/>
              </w:rPr>
            </w:pPr>
          </w:p>
        </w:tc>
        <w:tc>
          <w:tcPr>
            <w:tcW w:w="5440" w:type="dxa"/>
            <w:vAlign w:val="bottom"/>
          </w:tcPr>
          <w:p>
            <w:pPr>
              <w:jc w:val="center"/>
              <w:ind w:left="1999"/>
              <w:spacing w:after="0"/>
              <w:rPr>
                <w:sz w:val="20"/>
                <w:szCs w:val="20"/>
                <w:color w:val="auto"/>
              </w:rPr>
            </w:pPr>
            <w:r>
              <w:rPr>
                <w:rFonts w:ascii="Arial" w:cs="Arial" w:eastAsia="Arial" w:hAnsi="Arial"/>
                <w:sz w:val="16"/>
                <w:szCs w:val="16"/>
                <w:b w:val="1"/>
                <w:bCs w:val="1"/>
                <w:color w:val="auto"/>
                <w:w w:val="92"/>
              </w:rPr>
              <w:t>+852 3761-3318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9"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p>
    <w:p>
      <w:pPr>
        <w:spacing w:after="0" w:line="25"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9" w:lineRule="exact"/>
        <w:rPr>
          <w:sz w:val="24"/>
          <w:szCs w:val="24"/>
          <w:color w:val="auto"/>
        </w:rPr>
      </w:pPr>
    </w:p>
    <w:p>
      <w:pPr>
        <w:ind w:right="380" w:firstLine="342"/>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40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38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83820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20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2520" w:type="dxa"/>
            <w:vAlign w:val="bottom"/>
            <w:tcBorders>
              <w:top w:val="single" w:sz="8" w:color="auto"/>
              <w:bottom w:val="single" w:sz="8" w:color="auto"/>
            </w:tcBorders>
          </w:tcPr>
          <w:p>
            <w:pPr>
              <w:spacing w:after="0"/>
              <w:rPr>
                <w:sz w:val="3"/>
                <w:szCs w:val="3"/>
                <w:color w:val="auto"/>
              </w:rPr>
            </w:pPr>
          </w:p>
        </w:tc>
        <w:tc>
          <w:tcPr>
            <w:tcW w:w="25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32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5"/>
              </w:rPr>
              <w:t>Title of each class of</w:t>
            </w:r>
          </w:p>
        </w:tc>
        <w:tc>
          <w:tcPr>
            <w:tcW w:w="1620" w:type="dxa"/>
            <w:vAlign w:val="bottom"/>
            <w:tcBorders>
              <w:right w:val="single" w:sz="8" w:color="auto"/>
            </w:tcBorders>
          </w:tcPr>
          <w:p>
            <w:pPr>
              <w:jc w:val="center"/>
              <w:ind w:left="30"/>
              <w:spacing w:after="0" w:line="116" w:lineRule="exact"/>
              <w:rPr>
                <w:sz w:val="20"/>
                <w:szCs w:val="20"/>
                <w:color w:val="auto"/>
              </w:rPr>
            </w:pPr>
            <w:r>
              <w:rPr>
                <w:rFonts w:ascii="Arial" w:cs="Arial" w:eastAsia="Arial" w:hAnsi="Arial"/>
                <w:sz w:val="13"/>
                <w:szCs w:val="13"/>
                <w:b w:val="1"/>
                <w:bCs w:val="1"/>
                <w:color w:val="auto"/>
              </w:rPr>
              <w:t>Amount to be</w:t>
            </w:r>
          </w:p>
        </w:tc>
        <w:tc>
          <w:tcPr>
            <w:tcW w:w="2520" w:type="dxa"/>
            <w:vAlign w:val="bottom"/>
            <w:tcBorders>
              <w:right w:val="single" w:sz="8" w:color="auto"/>
            </w:tcBorders>
          </w:tcPr>
          <w:p>
            <w:pPr>
              <w:jc w:val="center"/>
              <w:ind w:left="10"/>
              <w:spacing w:after="0" w:line="116" w:lineRule="exact"/>
              <w:rPr>
                <w:sz w:val="20"/>
                <w:szCs w:val="20"/>
                <w:color w:val="auto"/>
              </w:rPr>
            </w:pPr>
            <w:r>
              <w:rPr>
                <w:rFonts w:ascii="Arial" w:cs="Arial" w:eastAsia="Arial" w:hAnsi="Arial"/>
                <w:sz w:val="13"/>
                <w:szCs w:val="13"/>
                <w:b w:val="1"/>
                <w:bCs w:val="1"/>
                <w:color w:val="auto"/>
                <w:w w:val="98"/>
              </w:rPr>
              <w:t>Proposed maximum aggregate</w:t>
            </w:r>
          </w:p>
        </w:tc>
        <w:tc>
          <w:tcPr>
            <w:tcW w:w="2500" w:type="dxa"/>
            <w:vAlign w:val="bottom"/>
            <w:tcBorders>
              <w:right w:val="single" w:sz="8" w:color="auto"/>
            </w:tcBorders>
          </w:tcPr>
          <w:p>
            <w:pPr>
              <w:jc w:val="center"/>
              <w:ind w:left="10"/>
              <w:spacing w:after="0" w:line="116" w:lineRule="exact"/>
              <w:rPr>
                <w:sz w:val="20"/>
                <w:szCs w:val="20"/>
                <w:color w:val="auto"/>
              </w:rPr>
            </w:pPr>
            <w:r>
              <w:rPr>
                <w:rFonts w:ascii="Arial" w:cs="Arial" w:eastAsia="Arial" w:hAnsi="Arial"/>
                <w:sz w:val="13"/>
                <w:szCs w:val="13"/>
                <w:b w:val="1"/>
                <w:bCs w:val="1"/>
                <w:color w:val="auto"/>
                <w:w w:val="97"/>
              </w:rPr>
              <w:t>Proposed maximum aggregate</w:t>
            </w:r>
          </w:p>
        </w:tc>
        <w:tc>
          <w:tcPr>
            <w:tcW w:w="1560" w:type="dxa"/>
            <w:vAlign w:val="bottom"/>
          </w:tcPr>
          <w:p>
            <w:pPr>
              <w:jc w:val="center"/>
              <w:ind w:left="30"/>
              <w:spacing w:after="0" w:line="116" w:lineRule="exact"/>
              <w:rPr>
                <w:sz w:val="20"/>
                <w:szCs w:val="20"/>
                <w:color w:val="auto"/>
              </w:rPr>
            </w:pPr>
            <w:r>
              <w:rPr>
                <w:rFonts w:ascii="Arial" w:cs="Arial" w:eastAsia="Arial" w:hAnsi="Arial"/>
                <w:sz w:val="13"/>
                <w:szCs w:val="13"/>
                <w:b w:val="1"/>
                <w:bCs w:val="1"/>
                <w:color w:val="auto"/>
              </w:rPr>
              <w:t>Amount of</w:t>
            </w:r>
          </w:p>
        </w:tc>
      </w:tr>
      <w:tr>
        <w:trPr>
          <w:trHeight w:val="176"/>
        </w:trPr>
        <w:tc>
          <w:tcPr>
            <w:tcW w:w="20" w:type="dxa"/>
            <w:vAlign w:val="bottom"/>
          </w:tcPr>
          <w:p>
            <w:pPr>
              <w:spacing w:after="0"/>
              <w:rPr>
                <w:sz w:val="15"/>
                <w:szCs w:val="15"/>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2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(2)(3)</w:t>
            </w:r>
          </w:p>
        </w:tc>
        <w:tc>
          <w:tcPr>
            <w:tcW w:w="252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3"/>
              </w:rPr>
              <w:t>offering price per share</w:t>
            </w:r>
            <w:r>
              <w:rPr>
                <w:rFonts w:ascii="Arial" w:cs="Arial" w:eastAsia="Arial" w:hAnsi="Arial"/>
                <w:sz w:val="12"/>
                <w:szCs w:val="12"/>
                <w:b w:val="1"/>
                <w:bCs w:val="1"/>
                <w:color w:val="auto"/>
                <w:w w:val="93"/>
              </w:rPr>
              <w:t>(3)</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(2)(3)</w:t>
            </w:r>
          </w:p>
        </w:tc>
        <w:tc>
          <w:tcPr>
            <w:tcW w:w="156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registration fee</w:t>
            </w:r>
          </w:p>
        </w:tc>
      </w:tr>
      <w:tr>
        <w:trPr>
          <w:trHeight w:val="123"/>
        </w:trPr>
        <w:tc>
          <w:tcPr>
            <w:tcW w:w="20" w:type="dxa"/>
            <w:vAlign w:val="bottom"/>
          </w:tcPr>
          <w:p>
            <w:pPr>
              <w:spacing w:after="0"/>
              <w:rPr>
                <w:sz w:val="10"/>
                <w:szCs w:val="10"/>
                <w:color w:val="auto"/>
              </w:rPr>
            </w:pPr>
          </w:p>
        </w:tc>
        <w:tc>
          <w:tcPr>
            <w:tcW w:w="320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rPr>
              <w:t>Class A Ordinary Shares,</w:t>
            </w:r>
          </w:p>
        </w:tc>
        <w:tc>
          <w:tcPr>
            <w:tcW w:w="162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15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par value $0.0001 per share</w:t>
            </w:r>
            <w:r>
              <w:rPr>
                <w:rFonts w:ascii="Arial" w:cs="Arial" w:eastAsia="Arial" w:hAnsi="Arial"/>
                <w:sz w:val="12"/>
                <w:szCs w:val="12"/>
                <w:color w:val="auto"/>
              </w:rPr>
              <w:t>(1)</w:t>
            </w:r>
          </w:p>
        </w:tc>
        <w:tc>
          <w:tcPr>
            <w:tcW w:w="162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color w:val="auto"/>
                <w:w w:val="94"/>
              </w:rPr>
              <w:t>36,800,000</w:t>
            </w:r>
          </w:p>
        </w:tc>
        <w:tc>
          <w:tcPr>
            <w:tcW w:w="252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color w:val="auto"/>
                <w:w w:val="91"/>
              </w:rPr>
              <w:t>$7.25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$266,800,000</w:t>
            </w:r>
          </w:p>
        </w:tc>
        <w:tc>
          <w:tcPr>
            <w:tcW w:w="156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color w:val="auto"/>
                <w:w w:val="91"/>
              </w:rPr>
              <w:t>$31,003</w:t>
            </w:r>
            <w:r>
              <w:rPr>
                <w:rFonts w:ascii="Arial" w:cs="Arial" w:eastAsia="Arial" w:hAnsi="Arial"/>
                <w:sz w:val="12"/>
                <w:szCs w:val="12"/>
                <w:color w:val="auto"/>
                <w:w w:val="91"/>
              </w:rPr>
              <w:t>(4)</w:t>
            </w:r>
          </w:p>
        </w:tc>
      </w:tr>
      <w:tr>
        <w:trPr>
          <w:trHeight w:val="20"/>
        </w:trPr>
        <w:tc>
          <w:tcPr>
            <w:tcW w:w="2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340" w:right="240" w:hanging="332"/>
        <w:spacing w:after="0" w:line="226"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American depositary shares issuable upon deposit of Class A ordinary shares registered hereby will be registered under a separate registration statement on Form F-6 (Registration No. 333-200636). Each American depositary share represents two Class A ordinary shares.</w:t>
      </w:r>
    </w:p>
    <w:p>
      <w:pPr>
        <w:ind w:left="340" w:right="280" w:hanging="332"/>
        <w:spacing w:after="0" w:line="238"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4,800,000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registration fee in accordance with Rule 457(a) under the Securities Act of 1933.</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ind w:right="40" w:firstLine="342"/>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15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CC062A"/>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CC062A"/>
        </w:rPr>
        <w:t>PROSPECTUS (Subject to Completion)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CC062A"/>
        </w:rPr>
        <w:t>Issued December 8, 2014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7"/>
          <w:szCs w:val="27"/>
          <w:i w:val="1"/>
          <w:iCs w:val="1"/>
          <w:color w:val="auto"/>
        </w:rPr>
        <w:t>16,000,000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168275</wp:posOffset>
            </wp:positionV>
            <wp:extent cx="2032635"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263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Momo Inc.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REPRESENTING 32,000,000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230505</wp:posOffset>
            </wp:positionV>
            <wp:extent cx="2032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right="220"/>
        <w:spacing w:after="0" w:line="291" w:lineRule="auto"/>
        <w:rPr>
          <w:sz w:val="20"/>
          <w:szCs w:val="20"/>
          <w:color w:val="auto"/>
        </w:rPr>
      </w:pPr>
      <w:r>
        <w:rPr>
          <w:rFonts w:ascii="Arial" w:cs="Arial" w:eastAsia="Arial" w:hAnsi="Arial"/>
          <w:sz w:val="13"/>
          <w:szCs w:val="13"/>
          <w:b w:val="1"/>
          <w:bCs w:val="1"/>
          <w:i w:val="1"/>
          <w:iCs w:val="1"/>
          <w:color w:val="auto"/>
        </w:rPr>
        <w:t>Momo Inc. is offering 16,000,000 American depositary shares, or ADSs. Each ADS represents two Class A ordinary shares, par value US$0.0001 per share. This is our initial public offering and no public market currently exists for our ADSs or shares. We anticipate the initial public offering price of our ADSs will be between US$12.50 and US$14.50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193040</wp:posOffset>
            </wp:positionV>
            <wp:extent cx="2032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 “emerging growth company” under applicable U.S. federal securities laws and are eligible for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226695</wp:posOffset>
            </wp:positionV>
            <wp:extent cx="2032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ADSs have been approved for listing on the NASDAQ Global Select Market under the symbol “MOMO.”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226695</wp:posOffset>
            </wp:positionV>
            <wp:extent cx="2032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5"/>
          </w:tcPr>
          <w:p>
            <w:pPr>
              <w:spacing w:after="0"/>
              <w:rPr>
                <w:rFonts w:ascii="Arial" w:cs="Arial" w:eastAsia="Arial" w:hAnsi="Arial"/>
                <w:sz w:val="18"/>
                <w:szCs w:val="18"/>
                <w:b w:val="1"/>
                <w:bCs w:val="1"/>
                <w:i w:val="1"/>
                <w:iCs w:val="1"/>
                <w:color w:val="auto"/>
                <w:w w:val="88"/>
              </w:rPr>
            </w:pPr>
            <w:r>
              <w:rPr>
                <w:rFonts w:ascii="Arial" w:cs="Arial" w:eastAsia="Arial" w:hAnsi="Arial"/>
                <w:sz w:val="18"/>
                <w:szCs w:val="18"/>
                <w:b w:val="1"/>
                <w:bCs w:val="1"/>
                <w:i w:val="1"/>
                <w:iCs w:val="1"/>
                <w:color w:val="auto"/>
                <w:w w:val="88"/>
              </w:rPr>
              <w:t>Investing in the ADSs involves risks. See “</w:t>
            </w:r>
            <w:hyperlink w:anchor="page18">
              <w:r>
                <w:rPr>
                  <w:rFonts w:ascii="Arial" w:cs="Arial" w:eastAsia="Arial" w:hAnsi="Arial"/>
                  <w:sz w:val="18"/>
                  <w:szCs w:val="18"/>
                  <w:b w:val="1"/>
                  <w:bCs w:val="1"/>
                  <w:i w:val="1"/>
                  <w:iCs w:val="1"/>
                  <w:color w:val="0000EE"/>
                  <w:w w:val="88"/>
                </w:rPr>
                <w:t>Risk Factors</w:t>
              </w:r>
            </w:hyperlink>
            <w:r>
              <w:rPr>
                <w:rFonts w:ascii="Arial" w:cs="Arial" w:eastAsia="Arial" w:hAnsi="Arial"/>
                <w:sz w:val="18"/>
                <w:szCs w:val="18"/>
                <w:b w:val="1"/>
                <w:bCs w:val="1"/>
                <w:i w:val="1"/>
                <w:iCs w:val="1"/>
                <w:color w:val="auto"/>
                <w:w w:val="88"/>
              </w:rPr>
              <w:t>” beginning on page 14.</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ind w:left="560"/>
              <w:spacing w:after="0"/>
              <w:rPr>
                <w:sz w:val="20"/>
                <w:szCs w:val="20"/>
                <w:color w:val="auto"/>
              </w:rPr>
            </w:pPr>
            <w:r>
              <w:rPr>
                <w:rFonts w:ascii="Arial" w:cs="Arial" w:eastAsia="Arial" w:hAnsi="Arial"/>
                <w:sz w:val="18"/>
                <w:szCs w:val="18"/>
                <w:i w:val="1"/>
                <w:iCs w:val="1"/>
                <w:color w:val="auto"/>
              </w:rPr>
              <w:t>PRICE US$</w:t>
            </w:r>
          </w:p>
        </w:tc>
        <w:tc>
          <w:tcPr>
            <w:tcW w:w="1300" w:type="dxa"/>
            <w:vAlign w:val="bottom"/>
            <w:gridSpan w:val="3"/>
          </w:tcPr>
          <w:p>
            <w:pPr>
              <w:ind w:left="120"/>
              <w:spacing w:after="0"/>
              <w:rPr>
                <w:sz w:val="20"/>
                <w:szCs w:val="20"/>
                <w:color w:val="auto"/>
              </w:rPr>
            </w:pPr>
            <w:r>
              <w:rPr>
                <w:rFonts w:ascii="Arial" w:cs="Arial" w:eastAsia="Arial" w:hAnsi="Arial"/>
                <w:sz w:val="18"/>
                <w:szCs w:val="18"/>
                <w:i w:val="1"/>
                <w:iCs w:val="1"/>
                <w:color w:val="auto"/>
              </w:rPr>
              <w:t>AN ADS</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gridSpan w:val="2"/>
            <w:vMerge w:val="restart"/>
          </w:tcPr>
          <w:p>
            <w:pPr>
              <w:ind w:left="860"/>
              <w:spacing w:after="0"/>
              <w:rPr>
                <w:sz w:val="20"/>
                <w:szCs w:val="20"/>
                <w:color w:val="auto"/>
              </w:rPr>
            </w:pPr>
            <w:r>
              <w:rPr>
                <w:rFonts w:ascii="Arial" w:cs="Arial" w:eastAsia="Arial" w:hAnsi="Arial"/>
                <w:sz w:val="13"/>
                <w:szCs w:val="13"/>
                <w:b w:val="1"/>
                <w:bCs w:val="1"/>
                <w:i w:val="1"/>
                <w:iCs w:val="1"/>
                <w:color w:val="auto"/>
                <w:w w:val="87"/>
              </w:rPr>
              <w:t>Underwriting</w:t>
            </w:r>
          </w:p>
        </w:tc>
        <w:tc>
          <w:tcPr>
            <w:tcW w:w="940" w:type="dxa"/>
            <w:vAlign w:val="bottom"/>
          </w:tcPr>
          <w:p>
            <w:pPr>
              <w:spacing w:after="0"/>
              <w:rPr>
                <w:sz w:val="24"/>
                <w:szCs w:val="24"/>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i w:val="1"/>
                <w:iCs w:val="1"/>
                <w:color w:val="auto"/>
                <w:w w:val="81"/>
              </w:rPr>
              <w:t>Proceeds</w:t>
            </w:r>
          </w:p>
        </w:tc>
        <w:tc>
          <w:tcPr>
            <w:tcW w:w="0" w:type="dxa"/>
            <w:vAlign w:val="bottom"/>
          </w:tcPr>
          <w:p>
            <w:pPr>
              <w:spacing w:after="0"/>
              <w:rPr>
                <w:sz w:val="1"/>
                <w:szCs w:val="1"/>
                <w:color w:val="auto"/>
              </w:rPr>
            </w:pPr>
          </w:p>
        </w:tc>
      </w:tr>
      <w:tr>
        <w:trPr>
          <w:trHeight w:val="398"/>
        </w:trPr>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i w:val="1"/>
                <w:iCs w:val="1"/>
                <w:color w:val="auto"/>
                <w:w w:val="82"/>
              </w:rPr>
              <w:t>Discounts</w:t>
            </w:r>
          </w:p>
        </w:tc>
        <w:tc>
          <w:tcPr>
            <w:tcW w:w="94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i w:val="1"/>
                <w:iCs w:val="1"/>
                <w:color w:val="auto"/>
                <w:w w:val="80"/>
              </w:rPr>
              <w:t>before</w:t>
            </w: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i w:val="1"/>
                <w:iCs w:val="1"/>
                <w:color w:val="auto"/>
                <w:w w:val="86"/>
              </w:rPr>
              <w:t>and</w:t>
            </w:r>
          </w:p>
        </w:tc>
        <w:tc>
          <w:tcPr>
            <w:tcW w:w="94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i w:val="1"/>
                <w:iCs w:val="1"/>
                <w:color w:val="auto"/>
                <w:w w:val="77"/>
              </w:rPr>
              <w:t>expenses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300" w:type="dxa"/>
            <w:vAlign w:val="bottom"/>
            <w:gridSpan w:val="3"/>
          </w:tcPr>
          <w:p>
            <w:pPr>
              <w:ind w:left="480"/>
              <w:spacing w:after="0"/>
              <w:rPr>
                <w:sz w:val="20"/>
                <w:szCs w:val="20"/>
                <w:color w:val="auto"/>
              </w:rPr>
            </w:pPr>
            <w:r>
              <w:rPr>
                <w:rFonts w:ascii="Arial" w:cs="Arial" w:eastAsia="Arial" w:hAnsi="Arial"/>
                <w:sz w:val="13"/>
                <w:szCs w:val="13"/>
                <w:b w:val="1"/>
                <w:bCs w:val="1"/>
                <w:i w:val="1"/>
                <w:iCs w:val="1"/>
                <w:color w:val="auto"/>
                <w:w w:val="89"/>
              </w:rPr>
              <w:t>Price to public</w:t>
            </w:r>
          </w:p>
        </w:tc>
        <w:tc>
          <w:tcPr>
            <w:tcW w:w="1580" w:type="dxa"/>
            <w:vAlign w:val="bottom"/>
            <w:gridSpan w:val="2"/>
          </w:tcPr>
          <w:p>
            <w:pPr>
              <w:ind w:left="880"/>
              <w:spacing w:after="0"/>
              <w:rPr>
                <w:sz w:val="20"/>
                <w:szCs w:val="20"/>
                <w:color w:val="auto"/>
              </w:rPr>
            </w:pPr>
            <w:r>
              <w:rPr>
                <w:rFonts w:ascii="Arial" w:cs="Arial" w:eastAsia="Arial" w:hAnsi="Arial"/>
                <w:sz w:val="13"/>
                <w:szCs w:val="13"/>
                <w:b w:val="1"/>
                <w:bCs w:val="1"/>
                <w:i w:val="1"/>
                <w:iCs w:val="1"/>
                <w:color w:val="auto"/>
                <w:w w:val="79"/>
              </w:rPr>
              <w:t>Commissions</w:t>
            </w:r>
          </w:p>
        </w:tc>
        <w:tc>
          <w:tcPr>
            <w:tcW w:w="94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i w:val="1"/>
                <w:iCs w:val="1"/>
                <w:color w:val="auto"/>
                <w:w w:val="85"/>
              </w:rPr>
              <w:t>to Company</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1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i w:val="1"/>
                <w:iCs w:val="1"/>
                <w:color w:val="auto"/>
              </w:rPr>
              <w:t>Per ADS</w:t>
            </w:r>
          </w:p>
        </w:tc>
        <w:tc>
          <w:tcPr>
            <w:tcW w:w="4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US$</w:t>
            </w: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US$</w:t>
            </w:r>
          </w:p>
        </w:tc>
        <w:tc>
          <w:tcPr>
            <w:tcW w:w="9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6"/>
                <w:szCs w:val="16"/>
                <w:i w:val="1"/>
                <w:iCs w:val="1"/>
                <w:color w:val="auto"/>
                <w:w w:val="83"/>
              </w:rPr>
              <w:t>US$</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5140" w:type="dxa"/>
            <w:vAlign w:val="bottom"/>
            <w:gridSpan w:val="4"/>
          </w:tcPr>
          <w:p>
            <w:pPr>
              <w:spacing w:after="0"/>
              <w:rPr>
                <w:sz w:val="20"/>
                <w:szCs w:val="20"/>
                <w:color w:val="auto"/>
              </w:rPr>
            </w:pPr>
            <w:r>
              <w:rPr>
                <w:rFonts w:ascii="Arial" w:cs="Arial" w:eastAsia="Arial" w:hAnsi="Arial"/>
                <w:sz w:val="16"/>
                <w:szCs w:val="16"/>
                <w:i w:val="1"/>
                <w:iCs w:val="1"/>
                <w:color w:val="auto"/>
              </w:rPr>
              <w:t>Total</w:t>
            </w:r>
          </w:p>
        </w:tc>
        <w:tc>
          <w:tcPr>
            <w:tcW w:w="1300" w:type="dxa"/>
            <w:vAlign w:val="bottom"/>
            <w:gridSpan w:val="3"/>
          </w:tcPr>
          <w:p>
            <w:pPr>
              <w:ind w:left="480"/>
              <w:spacing w:after="0"/>
              <w:rPr>
                <w:sz w:val="20"/>
                <w:szCs w:val="20"/>
                <w:color w:val="auto"/>
              </w:rPr>
            </w:pPr>
            <w:r>
              <w:rPr>
                <w:rFonts w:ascii="Arial" w:cs="Arial" w:eastAsia="Arial" w:hAnsi="Arial"/>
                <w:sz w:val="16"/>
                <w:szCs w:val="16"/>
                <w:i w:val="1"/>
                <w:iCs w:val="1"/>
                <w:color w:val="auto"/>
              </w:rPr>
              <w:t>US$</w:t>
            </w:r>
          </w:p>
        </w:tc>
        <w:tc>
          <w:tcPr>
            <w:tcW w:w="1580" w:type="dxa"/>
            <w:vAlign w:val="bottom"/>
            <w:gridSpan w:val="2"/>
          </w:tcPr>
          <w:p>
            <w:pPr>
              <w:ind w:left="860"/>
              <w:spacing w:after="0"/>
              <w:rPr>
                <w:sz w:val="20"/>
                <w:szCs w:val="20"/>
                <w:color w:val="auto"/>
              </w:rPr>
            </w:pPr>
            <w:r>
              <w:rPr>
                <w:rFonts w:ascii="Arial" w:cs="Arial" w:eastAsia="Arial" w:hAnsi="Arial"/>
                <w:sz w:val="16"/>
                <w:szCs w:val="16"/>
                <w:i w:val="1"/>
                <w:iCs w:val="1"/>
                <w:color w:val="auto"/>
              </w:rPr>
              <w:t>US$</w:t>
            </w:r>
          </w:p>
        </w:tc>
        <w:tc>
          <w:tcPr>
            <w:tcW w:w="1660" w:type="dxa"/>
            <w:vAlign w:val="bottom"/>
            <w:gridSpan w:val="3"/>
          </w:tcPr>
          <w:p>
            <w:pPr>
              <w:jc w:val="right"/>
              <w:ind w:right="440"/>
              <w:spacing w:after="0"/>
              <w:rPr>
                <w:sz w:val="20"/>
                <w:szCs w:val="20"/>
                <w:color w:val="auto"/>
              </w:rPr>
            </w:pPr>
            <w:r>
              <w:rPr>
                <w:rFonts w:ascii="Arial" w:cs="Arial" w:eastAsia="Arial" w:hAnsi="Arial"/>
                <w:sz w:val="16"/>
                <w:szCs w:val="16"/>
                <w:i w:val="1"/>
                <w:iCs w:val="1"/>
                <w:color w:val="auto"/>
              </w:rPr>
              <w:t>US$</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We have granted the underwriters the right to purchase up to 2,400,000 additional ADSs to cover over-allotments within 30 days after the date of this prospectus.</w:t>
      </w:r>
    </w:p>
    <w:p>
      <w:pPr>
        <w:spacing w:after="0" w:line="204" w:lineRule="exact"/>
        <w:rPr>
          <w:sz w:val="20"/>
          <w:szCs w:val="20"/>
          <w:color w:val="auto"/>
        </w:rPr>
      </w:pPr>
    </w:p>
    <w:p>
      <w:pPr>
        <w:ind w:right="340"/>
        <w:spacing w:after="0" w:line="253" w:lineRule="auto"/>
        <w:rPr>
          <w:sz w:val="20"/>
          <w:szCs w:val="20"/>
          <w:color w:val="auto"/>
        </w:rPr>
      </w:pPr>
      <w:r>
        <w:rPr>
          <w:rFonts w:ascii="Arial" w:cs="Arial" w:eastAsia="Arial" w:hAnsi="Arial"/>
          <w:sz w:val="14"/>
          <w:szCs w:val="14"/>
          <w:b w:val="1"/>
          <w:bCs w:val="1"/>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4"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i w:val="1"/>
          <w:iCs w:val="1"/>
          <w:color w:val="auto"/>
        </w:rPr>
        <w:t>Following the completion of this offering, our outstanding share capital will consist of Class A ordinary shares and Class B ordinary shares. Yan Tang, our co-founder, chairman and chief executive officer, will beneficially own all of our issued Class B ordinary shares and will be able to exercise 78.0% of the total voting power of our issued and outstanding share capital immediately following the completion of this offering assuming (i) the underwriters do not exercise their over-allotment option to purchase additional ADSs, and (ii) we will issue and sell a total of 8,888,888 Class A ordinary shares to Alibaba Investment Limited and 58.com Inc. through concurrent private placement, which number of shares has been calculated based on an assumed initial public offering price of US$13.50 per ADS, the midpoint of the estimated offering price range set forth above.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Class A ordinary shares are not convertible into Class B ordinary shares under any circumstances.</w:t>
      </w:r>
    </w:p>
    <w:p>
      <w:pPr>
        <w:spacing w:after="0" w:line="185" w:lineRule="exact"/>
        <w:rPr>
          <w:sz w:val="20"/>
          <w:szCs w:val="20"/>
          <w:color w:val="auto"/>
        </w:rPr>
      </w:pPr>
    </w:p>
    <w:p>
      <w:pPr>
        <w:jc w:val="both"/>
        <w:ind w:right="140"/>
        <w:spacing w:after="0" w:line="238" w:lineRule="auto"/>
        <w:rPr>
          <w:sz w:val="20"/>
          <w:szCs w:val="20"/>
          <w:color w:val="auto"/>
        </w:rPr>
      </w:pPr>
      <w:r>
        <w:rPr>
          <w:rFonts w:ascii="Arial" w:cs="Arial" w:eastAsia="Arial" w:hAnsi="Arial"/>
          <w:sz w:val="14"/>
          <w:szCs w:val="14"/>
          <w:i w:val="1"/>
          <w:iCs w:val="1"/>
          <w:color w:val="auto"/>
        </w:rPr>
        <w:t>Alibaba Investment Limited, one of our existing shareholders, has indicated to us its interest in purchasing up to US$10.0 million of ADSs offered in this offering at the initial public offering price and on the same terms as the other ADSs being offered in this offering. We and the underwriters are currently under no obligation to sell ADSs to Alibaba Investment Limited. The number of ADSs available for sale to the general public will be reduced to the extent that Alibaba Investment Limited purchases our ADSs.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80" w:type="dxa"/>
            <w:vAlign w:val="bottom"/>
          </w:tcPr>
          <w:p>
            <w:pPr>
              <w:spacing w:after="0"/>
              <w:rPr>
                <w:sz w:val="20"/>
                <w:szCs w:val="20"/>
                <w:color w:val="auto"/>
              </w:rPr>
            </w:pPr>
            <w:r>
              <w:rPr>
                <w:rFonts w:ascii="Arial" w:cs="Arial" w:eastAsia="Arial" w:hAnsi="Arial"/>
                <w:sz w:val="14"/>
                <w:szCs w:val="14"/>
                <w:i w:val="1"/>
                <w:iCs w:val="1"/>
                <w:color w:val="auto"/>
                <w:w w:val="98"/>
              </w:rPr>
              <w:t>The underwriters expect to deliver the ADSs to purchasers on</w:t>
            </w: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213360</wp:posOffset>
            </wp:positionV>
            <wp:extent cx="2032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tabs>
          <w:tab w:leader="none" w:pos="3820" w:val="left"/>
          <w:tab w:leader="none" w:pos="6420" w:val="left"/>
          <w:tab w:leader="none" w:pos="9580" w:val="left"/>
        </w:tabs>
        <w:rPr>
          <w:sz w:val="20"/>
          <w:szCs w:val="20"/>
          <w:color w:val="auto"/>
        </w:rPr>
      </w:pPr>
      <w:r>
        <w:rPr>
          <w:rFonts w:ascii="Arial" w:cs="Arial" w:eastAsia="Arial" w:hAnsi="Arial"/>
          <w:sz w:val="19"/>
          <w:szCs w:val="19"/>
          <w:i w:val="1"/>
          <w:iCs w:val="1"/>
          <w:color w:val="auto"/>
        </w:rPr>
        <w:t>MORGAN STANLEY</w:t>
      </w:r>
      <w:r>
        <w:rPr>
          <w:sz w:val="20"/>
          <w:szCs w:val="20"/>
          <w:color w:val="auto"/>
        </w:rPr>
        <w:tab/>
      </w:r>
      <w:r>
        <w:rPr>
          <w:rFonts w:ascii="Arial" w:cs="Arial" w:eastAsia="Arial" w:hAnsi="Arial"/>
          <w:sz w:val="19"/>
          <w:szCs w:val="19"/>
          <w:i w:val="1"/>
          <w:iCs w:val="1"/>
          <w:color w:val="auto"/>
        </w:rPr>
        <w:t>CREDIT SUISSE</w:t>
      </w:r>
      <w:r>
        <w:rPr>
          <w:sz w:val="20"/>
          <w:szCs w:val="20"/>
          <w:color w:val="auto"/>
        </w:rPr>
        <w:tab/>
      </w:r>
      <w:r>
        <w:rPr>
          <w:rFonts w:ascii="Arial" w:cs="Arial" w:eastAsia="Arial" w:hAnsi="Arial"/>
          <w:sz w:val="19"/>
          <w:szCs w:val="19"/>
          <w:i w:val="1"/>
          <w:iCs w:val="1"/>
          <w:color w:val="auto"/>
        </w:rPr>
        <w:t>J.P. MORGAN</w:t>
      </w:r>
      <w:r>
        <w:rPr>
          <w:sz w:val="20"/>
          <w:szCs w:val="20"/>
          <w:color w:val="auto"/>
        </w:rPr>
        <w:tab/>
      </w:r>
      <w:r>
        <w:rPr>
          <w:rFonts w:ascii="Arial" w:cs="Arial" w:eastAsia="Arial" w:hAnsi="Arial"/>
          <w:sz w:val="17"/>
          <w:szCs w:val="17"/>
          <w:i w:val="1"/>
          <w:iCs w:val="1"/>
          <w:color w:val="auto"/>
        </w:rPr>
        <w:t>CHINA RENAISSANCE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235585</wp:posOffset>
            </wp:positionV>
            <wp:extent cx="2032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245745</wp:posOffset>
            </wp:positionV>
            <wp:extent cx="5763260" cy="7409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3260" cy="74098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1520" w:type="dxa"/>
            <w:vAlign w:val="bottom"/>
            <w:gridSpan w:val="8"/>
            <w:vMerge w:val="restart"/>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3520" w:type="dxa"/>
            <w:vAlign w:val="bottom"/>
            <w:gridSpan w:val="7"/>
            <w:vMerge w:val="restart"/>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Page</w:t>
            </w:r>
          </w:p>
        </w:tc>
        <w:tc>
          <w:tcPr>
            <w:tcW w:w="200" w:type="dxa"/>
            <w:vAlign w:val="bottom"/>
            <w:vMerge w:val="restart"/>
          </w:tcPr>
          <w:p>
            <w:pPr>
              <w:spacing w:after="0"/>
              <w:rPr>
                <w:sz w:val="14"/>
                <w:szCs w:val="14"/>
                <w:color w:val="auto"/>
              </w:rPr>
            </w:pPr>
          </w:p>
        </w:tc>
        <w:tc>
          <w:tcPr>
            <w:tcW w:w="5060" w:type="dxa"/>
            <w:vAlign w:val="bottom"/>
            <w:gridSpan w:val="14"/>
            <w:vMerge w:val="restart"/>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Management</w:t>
              </w:r>
            </w:hyperlink>
          </w:p>
        </w:tc>
        <w:tc>
          <w:tcPr>
            <w:tcW w:w="320" w:type="dxa"/>
            <w:vAlign w:val="bottom"/>
          </w:tcPr>
          <w:p>
            <w:pPr>
              <w:jc w:val="right"/>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520" w:type="dxa"/>
            <w:vAlign w:val="bottom"/>
            <w:gridSpan w:val="8"/>
            <w:vMerge w:val="continue"/>
          </w:tcPr>
          <w:p>
            <w:pPr>
              <w:spacing w:after="0"/>
              <w:rPr>
                <w:sz w:val="13"/>
                <w:szCs w:val="13"/>
                <w:color w:val="auto"/>
              </w:rPr>
            </w:pPr>
          </w:p>
        </w:tc>
        <w:tc>
          <w:tcPr>
            <w:tcW w:w="3520" w:type="dxa"/>
            <w:vAlign w:val="bottom"/>
            <w:gridSpan w:val="7"/>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060" w:type="dxa"/>
            <w:vAlign w:val="bottom"/>
            <w:gridSpan w:val="14"/>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620" w:type="dxa"/>
            <w:vAlign w:val="bottom"/>
            <w:gridSpan w:val="3"/>
          </w:tcPr>
          <w:p>
            <w:pPr>
              <w:spacing w:after="0"/>
              <w:rPr>
                <w:sz w:val="18"/>
                <w:szCs w:val="18"/>
                <w:color w:val="auto"/>
              </w:rPr>
            </w:pPr>
          </w:p>
        </w:tc>
        <w:tc>
          <w:tcPr>
            <w:tcW w:w="3520" w:type="dxa"/>
            <w:vAlign w:val="bottom"/>
            <w:gridSpan w:val="7"/>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6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Principal Shareholders</w:t>
              </w:r>
            </w:hyperlink>
          </w:p>
        </w:tc>
        <w:tc>
          <w:tcPr>
            <w:tcW w:w="3420" w:type="dxa"/>
            <w:vAlign w:val="bottom"/>
            <w:gridSpan w:val="9"/>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Special Note Regarding Forward-Looking Statements</w:t>
              </w:r>
            </w:hyperlink>
          </w:p>
        </w:tc>
        <w:tc>
          <w:tcPr>
            <w:tcW w:w="1160" w:type="dxa"/>
            <w:vAlign w:val="bottom"/>
            <w:gridSpan w:val="2"/>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47</w:t>
            </w:r>
          </w:p>
        </w:tc>
        <w:tc>
          <w:tcPr>
            <w:tcW w:w="200" w:type="dxa"/>
            <w:vAlign w:val="bottom"/>
          </w:tcPr>
          <w:p>
            <w:pPr>
              <w:spacing w:after="0"/>
              <w:rPr>
                <w:sz w:val="17"/>
                <w:szCs w:val="17"/>
                <w:color w:val="auto"/>
              </w:rPr>
            </w:pPr>
          </w:p>
        </w:tc>
        <w:tc>
          <w:tcPr>
            <w:tcW w:w="19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Related Party Transactions</w:t>
              </w:r>
            </w:hyperlink>
          </w:p>
        </w:tc>
        <w:tc>
          <w:tcPr>
            <w:tcW w:w="312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48</w:t>
            </w:r>
          </w:p>
        </w:tc>
        <w:tc>
          <w:tcPr>
            <w:tcW w:w="5260" w:type="dxa"/>
            <w:vAlign w:val="bottom"/>
            <w:gridSpan w:val="15"/>
          </w:tcPr>
          <w:p>
            <w:pPr>
              <w:ind w:left="20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Description of Share Capital</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Dividend Policy</w:t>
              </w:r>
            </w:hyperlink>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49</w:t>
            </w:r>
          </w:p>
        </w:tc>
        <w:tc>
          <w:tcPr>
            <w:tcW w:w="5260" w:type="dxa"/>
            <w:vAlign w:val="bottom"/>
            <w:gridSpan w:val="15"/>
          </w:tcPr>
          <w:p>
            <w:pPr>
              <w:ind w:left="200"/>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Description of American Depositary Shares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Capitalization</w:t>
              </w:r>
            </w:hyperlink>
          </w:p>
        </w:tc>
        <w:tc>
          <w:tcPr>
            <w:tcW w:w="3880" w:type="dxa"/>
            <w:vAlign w:val="bottom"/>
            <w:gridSpan w:val="8"/>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7"/>
                <w:szCs w:val="17"/>
                <w:color w:val="auto"/>
              </w:rPr>
            </w:pPr>
          </w:p>
        </w:tc>
        <w:tc>
          <w:tcPr>
            <w:tcW w:w="3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Shares Eligible for Future Sales</w:t>
              </w:r>
            </w:hyperlink>
          </w:p>
        </w:tc>
        <w:tc>
          <w:tcPr>
            <w:tcW w:w="19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Dilution</w:t>
              </w:r>
            </w:hyperlink>
          </w:p>
        </w:tc>
        <w:tc>
          <w:tcPr>
            <w:tcW w:w="400" w:type="dxa"/>
            <w:vAlign w:val="bottom"/>
            <w:tcBorders>
              <w:top w:val="single" w:sz="8" w:color="0000EE"/>
            </w:tcBorders>
            <w:gridSpan w:val="4"/>
          </w:tcPr>
          <w:p>
            <w:pPr>
              <w:spacing w:after="0"/>
              <w:rPr>
                <w:sz w:val="17"/>
                <w:szCs w:val="17"/>
                <w:color w:val="auto"/>
              </w:rPr>
            </w:pPr>
          </w:p>
        </w:tc>
        <w:tc>
          <w:tcPr>
            <w:tcW w:w="4040" w:type="dxa"/>
            <w:vAlign w:val="bottom"/>
            <w:gridSpan w:val="9"/>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68">
              <w:r>
                <w:rPr>
                  <w:rFonts w:ascii="Arial" w:cs="Arial" w:eastAsia="Arial" w:hAnsi="Arial"/>
                  <w:sz w:val="18"/>
                  <w:szCs w:val="18"/>
                  <w:color w:val="0000EE"/>
                  <w:w w:val="89"/>
                </w:rPr>
                <w:t>Taxation</w:t>
              </w:r>
            </w:hyperlink>
          </w:p>
        </w:tc>
        <w:tc>
          <w:tcPr>
            <w:tcW w:w="1660" w:type="dxa"/>
            <w:vAlign w:val="bottom"/>
            <w:tcBorders>
              <w:top w:val="single" w:sz="8" w:color="0000EE"/>
            </w:tcBorders>
            <w:gridSpan w:val="6"/>
          </w:tcPr>
          <w:p>
            <w:pPr>
              <w:spacing w:after="0"/>
              <w:rPr>
                <w:sz w:val="17"/>
                <w:szCs w:val="17"/>
                <w:color w:val="auto"/>
              </w:rPr>
            </w:pPr>
          </w:p>
        </w:tc>
        <w:tc>
          <w:tcPr>
            <w:tcW w:w="27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Enforceability of Civil Liabilities</w:t>
              </w:r>
            </w:hyperlink>
          </w:p>
        </w:tc>
        <w:tc>
          <w:tcPr>
            <w:tcW w:w="2640" w:type="dxa"/>
            <w:vAlign w:val="bottom"/>
            <w:gridSpan w:val="4"/>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54</w:t>
            </w:r>
          </w:p>
        </w:tc>
        <w:tc>
          <w:tcPr>
            <w:tcW w:w="20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75">
              <w:r>
                <w:rPr>
                  <w:rFonts w:ascii="Arial" w:cs="Arial" w:eastAsia="Arial" w:hAnsi="Arial"/>
                  <w:sz w:val="18"/>
                  <w:szCs w:val="18"/>
                  <w:color w:val="0000EE"/>
                  <w:w w:val="94"/>
                </w:rPr>
                <w:t>Underwriting</w:t>
              </w:r>
            </w:hyperlink>
          </w:p>
        </w:tc>
        <w:tc>
          <w:tcPr>
            <w:tcW w:w="406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Corporate History and Structure</w:t>
              </w:r>
            </w:hyperlink>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56</w:t>
            </w:r>
          </w:p>
        </w:tc>
        <w:tc>
          <w:tcPr>
            <w:tcW w:w="5260" w:type="dxa"/>
            <w:vAlign w:val="bottom"/>
            <w:gridSpan w:val="15"/>
          </w:tcPr>
          <w:p>
            <w:pPr>
              <w:ind w:left="200"/>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Expenses Related to This Offering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gridSpan w:val="1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Selected Consolidated Financial Data</w:t>
              </w:r>
            </w:hyperlink>
          </w:p>
        </w:tc>
        <w:tc>
          <w:tcPr>
            <w:tcW w:w="2340" w:type="dxa"/>
            <w:vAlign w:val="bottom"/>
            <w:gridSpan w:val="3"/>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5060" w:type="dxa"/>
            <w:vAlign w:val="bottom"/>
            <w:gridSpan w:val="14"/>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Management’s Discussion and Analysis of Financial Condition</w:t>
              </w:r>
            </w:hyperlink>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60" w:type="dxa"/>
            <w:vAlign w:val="bottom"/>
            <w:gridSpan w:val="15"/>
          </w:tcPr>
          <w:p>
            <w:pPr>
              <w:ind w:left="200"/>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and Results of Operations</w:t>
              </w:r>
            </w:hyperlink>
          </w:p>
        </w:tc>
        <w:tc>
          <w:tcPr>
            <w:tcW w:w="250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63</w:t>
            </w:r>
          </w:p>
        </w:tc>
        <w:tc>
          <w:tcPr>
            <w:tcW w:w="20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84">
              <w:r>
                <w:rPr>
                  <w:rFonts w:ascii="Arial" w:cs="Arial" w:eastAsia="Arial" w:hAnsi="Arial"/>
                  <w:sz w:val="18"/>
                  <w:szCs w:val="18"/>
                  <w:color w:val="0000EE"/>
                  <w:w w:val="93"/>
                </w:rPr>
                <w:t>Where You Can Find Additional Information</w:t>
              </w:r>
            </w:hyperlink>
          </w:p>
        </w:tc>
        <w:tc>
          <w:tcPr>
            <w:tcW w:w="18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Industry</w:t>
              </w:r>
            </w:hyperlink>
          </w:p>
        </w:tc>
        <w:tc>
          <w:tcPr>
            <w:tcW w:w="4440" w:type="dxa"/>
            <w:vAlign w:val="bottom"/>
            <w:gridSpan w:val="13"/>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89</w:t>
            </w:r>
          </w:p>
        </w:tc>
        <w:tc>
          <w:tcPr>
            <w:tcW w:w="200" w:type="dxa"/>
            <w:vAlign w:val="bottom"/>
          </w:tcPr>
          <w:p>
            <w:pPr>
              <w:spacing w:after="0"/>
              <w:rPr>
                <w:sz w:val="17"/>
                <w:szCs w:val="17"/>
                <w:color w:val="auto"/>
              </w:rPr>
            </w:pPr>
          </w:p>
        </w:tc>
        <w:tc>
          <w:tcPr>
            <w:tcW w:w="5060" w:type="dxa"/>
            <w:vAlign w:val="bottom"/>
            <w:gridSpan w:val="14"/>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1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84"/>
              </w:rPr>
            </w:pPr>
            <w:hyperlink w:anchor="page97">
              <w:r>
                <w:rPr>
                  <w:rFonts w:ascii="Arial" w:cs="Arial" w:eastAsia="Arial" w:hAnsi="Arial"/>
                  <w:sz w:val="18"/>
                  <w:szCs w:val="18"/>
                  <w:color w:val="0000EE"/>
                  <w:w w:val="84"/>
                </w:rPr>
                <w:t>Business</w:t>
              </w:r>
            </w:hyperlink>
          </w:p>
        </w:tc>
        <w:tc>
          <w:tcPr>
            <w:tcW w:w="4400" w:type="dxa"/>
            <w:vAlign w:val="bottom"/>
            <w:gridSpan w:val="12"/>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93</w:t>
            </w:r>
          </w:p>
        </w:tc>
        <w:tc>
          <w:tcPr>
            <w:tcW w:w="200" w:type="dxa"/>
            <w:vAlign w:val="bottom"/>
          </w:tcPr>
          <w:p>
            <w:pPr>
              <w:spacing w:after="0"/>
              <w:rPr>
                <w:sz w:val="17"/>
                <w:szCs w:val="17"/>
                <w:color w:val="auto"/>
              </w:rPr>
            </w:pPr>
          </w:p>
        </w:tc>
        <w:tc>
          <w:tcPr>
            <w:tcW w:w="5060" w:type="dxa"/>
            <w:vAlign w:val="bottom"/>
            <w:gridSpan w:val="14"/>
          </w:tcPr>
          <w:p>
            <w:pPr>
              <w:spacing w:after="0" w:line="196" w:lineRule="exact"/>
              <w:rPr>
                <w:rFonts w:ascii="Arial" w:cs="Arial" w:eastAsia="Arial" w:hAnsi="Arial"/>
                <w:sz w:val="18"/>
                <w:szCs w:val="18"/>
                <w:color w:val="0000EE"/>
                <w:w w:val="94"/>
              </w:rPr>
            </w:pPr>
            <w:hyperlink w:anchor="page185">
              <w:r>
                <w:rPr>
                  <w:rFonts w:ascii="Arial" w:cs="Arial" w:eastAsia="Arial" w:hAnsi="Arial"/>
                  <w:sz w:val="18"/>
                  <w:szCs w:val="18"/>
                  <w:color w:val="0000EE"/>
                  <w:w w:val="94"/>
                </w:rPr>
                <w:t>Index to Unaudited Condensed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1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Regulation</w:t>
              </w:r>
            </w:hyperlink>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9"/>
              </w:rPr>
              <w:t>111</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69"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Until , 2015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In addition, this prospectus contains information from a report prepared by Analysys International, a third-party market research firm, or the Analysys Report. The Analysys Report was commissioned by us to provide information on the mobile social networking market in China.</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Momo connects people in a personal and lively way.</w:t>
      </w:r>
    </w:p>
    <w:p>
      <w:pPr>
        <w:spacing w:after="0" w:line="225" w:lineRule="exact"/>
        <w:rPr>
          <w:sz w:val="20"/>
          <w:szCs w:val="20"/>
          <w:color w:val="auto"/>
        </w:rPr>
      </w:pPr>
    </w:p>
    <w:p>
      <w:pPr>
        <w:jc w:val="both"/>
        <w:ind w:left="200" w:right="40" w:firstLine="443"/>
        <w:spacing w:after="0" w:line="259" w:lineRule="auto"/>
        <w:rPr>
          <w:sz w:val="20"/>
          <w:szCs w:val="20"/>
          <w:color w:val="auto"/>
        </w:rPr>
      </w:pPr>
      <w:r>
        <w:rPr>
          <w:rFonts w:ascii="Arial" w:cs="Arial" w:eastAsia="Arial" w:hAnsi="Arial"/>
          <w:sz w:val="18"/>
          <w:szCs w:val="18"/>
          <w:color w:val="auto"/>
        </w:rPr>
        <w:t>Momo is a revolutionary mobile-based social networking platform. We enable users to establish and expand social relationships based on location and interests. Our platform includes our Momo mobile application and a variety of related features, functionalities, tools and services that we provide to users, customers and platform partners. We have established Momo as one of China’s leading mobile social networking platforms in less than three years since our inception.</w:t>
      </w:r>
    </w:p>
    <w:p>
      <w:pPr>
        <w:spacing w:after="0" w:line="187" w:lineRule="exact"/>
        <w:rPr>
          <w:sz w:val="20"/>
          <w:szCs w:val="20"/>
          <w:color w:val="auto"/>
        </w:rPr>
      </w:pPr>
    </w:p>
    <w:p>
      <w:pPr>
        <w:jc w:val="both"/>
        <w:ind w:left="200" w:right="420" w:firstLine="443"/>
        <w:spacing w:after="0" w:line="259" w:lineRule="auto"/>
        <w:rPr>
          <w:sz w:val="20"/>
          <w:szCs w:val="20"/>
          <w:color w:val="auto"/>
        </w:rPr>
      </w:pPr>
      <w:r>
        <w:rPr>
          <w:rFonts w:ascii="Arial" w:cs="Arial" w:eastAsia="Arial" w:hAnsi="Arial"/>
          <w:sz w:val="18"/>
          <w:szCs w:val="18"/>
          <w:color w:val="auto"/>
        </w:rPr>
        <w:t>Momo has become an integral part of the daily lives of many people in China, where the increasing proliferation of smartphones and network enhancement allow more people to be connected anytime and anywhere. With powerful and precise location-based features, we enable our users to connect with each other and expand relationships from online to offline, thereby making their social networking experience more real, personal and multi-dimensional.</w:t>
      </w:r>
    </w:p>
    <w:p>
      <w:pPr>
        <w:spacing w:after="0" w:line="18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We aim to offer our users an authentic social experience by encouraging them to provide detailed personal information on Momo. Leveraging our social interest graph engine and our analysis of user behavior data, we are able to provide users a customized experience based on their social preferences and needs. Momo users can maintain and strengthen their relationships through our private and group communication tools, content creation and sharing functions, as well as the offline social activities promoted on our platform.</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user base has grown rapidly since we launched Momo in August 2011, as evidenced by the following:</w:t>
      </w:r>
    </w:p>
    <w:p>
      <w:pPr>
        <w:spacing w:after="0" w:line="131"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had 180.3 million registered users as of September 30, 2014, representing an increase of 160.8% from September 30, 2013.</w:t>
      </w:r>
    </w:p>
    <w:p>
      <w:pPr>
        <w:spacing w:after="0" w:line="142" w:lineRule="exact"/>
        <w:rPr>
          <w:rFonts w:ascii="Arial" w:cs="Arial" w:eastAsia="Arial" w:hAnsi="Arial"/>
          <w:sz w:val="17"/>
          <w:szCs w:val="17"/>
          <w:color w:val="auto"/>
        </w:rPr>
      </w:pPr>
    </w:p>
    <w:p>
      <w:pPr>
        <w:ind w:left="1060" w:hanging="323"/>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monthly active users, or MAUs, reached 60.2 million in September 2014, representing an increase of 112.8% from September 2013.</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average daily active users, or DAUs, reached 25.5 million in September 2014, representing an increase of 140.6% from September 2013.</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had 2.3 million members as of September 30, 2014, representing an increase of 659.9% from as of September 30, 2013.</w:t>
      </w:r>
    </w:p>
    <w:p>
      <w:pPr>
        <w:spacing w:after="0" w:line="130" w:lineRule="exact"/>
        <w:rPr>
          <w:rFonts w:ascii="Arial" w:cs="Arial" w:eastAsia="Arial" w:hAnsi="Arial"/>
          <w:sz w:val="18"/>
          <w:szCs w:val="18"/>
          <w:color w:val="auto"/>
        </w:rPr>
      </w:pPr>
    </w:p>
    <w:p>
      <w:pPr>
        <w:ind w:left="1060" w:right="260" w:hanging="323"/>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users sent a daily average of 655.2 million one-to-one messages, representing a daily average of 26 one-to-one messages per DAU, in September 2014; 63.5% of these messages were exchanged among people who had already followed each other.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large, growing and engaged user base creates powerful network effects and a high barrier to entry.</w:t>
      </w:r>
    </w:p>
    <w:p>
      <w:pPr>
        <w:spacing w:after="0" w:line="225"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Amid the fast evolving mobile internet market in China, we have focused on building and growing our user base and improving user experience. Our Momo mobile application is free of charge. We began to generate revenues in July 2013 from our membership subscription package, which provides members with additional</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64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2642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functions and privileges. We generated 68.1% of our net revenues from membership subscription fees in the nine months ended September 30, 2014. We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also began to generate revenues from mobile games, paid emoticons and mobile marketing services in the second half of 2013. We believe our large,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engaged user base makes Momo attractive to mobile marketing customers and our platform partners. Our revenues increased significantly from</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US$0.8 million in the nine months ended September 30, 2013 to US$26.2 million in the nine months ended September 30, 2014. We had net losses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US$3.8 million, US$9.3 million and US$22.9 million in 2012, 2013 and the nine months ended September 30, 2014, respectively.</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The mobile internet population in China has grown substantially due to rapid technological development, network enhancement and increasing affordability of smartphones. According to eMarketer, a third-party market research firm, the number of mobile internet users in China grew from 375.6 million in 2011 to 556.1 million in 2013, representing a compound annual growth rate, or CAGR, of 21.7%, and is expected to further increase to 712.4 million in 2017.</w:t>
      </w:r>
    </w:p>
    <w:p>
      <w:pPr>
        <w:spacing w:after="0" w:line="187" w:lineRule="exact"/>
        <w:rPr>
          <w:sz w:val="20"/>
          <w:szCs w:val="20"/>
          <w:color w:val="auto"/>
        </w:rPr>
      </w:pPr>
    </w:p>
    <w:p>
      <w:pPr>
        <w:ind w:left="200" w:right="260" w:firstLine="443"/>
        <w:spacing w:after="0" w:line="279" w:lineRule="auto"/>
        <w:rPr>
          <w:sz w:val="20"/>
          <w:szCs w:val="20"/>
          <w:color w:val="auto"/>
        </w:rPr>
      </w:pPr>
      <w:r>
        <w:rPr>
          <w:rFonts w:ascii="Arial" w:cs="Arial" w:eastAsia="Arial" w:hAnsi="Arial"/>
          <w:sz w:val="17"/>
          <w:szCs w:val="17"/>
          <w:color w:val="auto"/>
        </w:rPr>
        <w:t>With the recent further development of the mobile internet, mobile social networking applications began to proliferate in China. As social networking applications started to integrate with the advanced features of smartphones in 2011, they underwent a transformation with more diverse content offerings in various formats, such as voice and video. In 2012, location-based services began to gain popularity in China. These developments have led to the rapid development of new mobile social networking applications based on location and interests, including Momo.</w:t>
      </w:r>
    </w:p>
    <w:p>
      <w:pPr>
        <w:spacing w:after="0" w:line="17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China, mobile games and mobile marketing are common monetization methods for mobile social networking platforms. According to Analysys, the mobile game market in China has expanded rapidly and reached a total market size of RMB13.9 billion (US$2.3 billion) in 2013. The market is expected to further grow at a CAGR of 39.6% to RMB52.8 billion (US$8.7 billion) in 2017. In addition, according to Analysys, the size of the mobile marketing market in China reached RMB13.4 billion (US$2.2 billion) in 2013, and is expected to further grow at a CAGR of 69.5% to RMB110.8 billion (US$18.3 billion) in 2017. Location-based mobile applications allow mobile marketing customers to target specific audiences or geographic regions, thus improving the effectiveness of marketing.</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our success to date is largely attributable to the following key competitive strengths:</w:t>
      </w:r>
    </w:p>
    <w:p>
      <w:pPr>
        <w:spacing w:after="0" w:line="131"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leading mobile-based social networking platform in China;</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innovative location-based social networking platform;</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user engagement powered by a variety of functionalities;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superior user experience supported by strong technology capabilities;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visionary and experienced management team.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200" w:right="100" w:firstLine="443"/>
        <w:spacing w:after="0" w:line="277" w:lineRule="auto"/>
        <w:rPr>
          <w:sz w:val="20"/>
          <w:szCs w:val="20"/>
          <w:color w:val="auto"/>
        </w:rPr>
      </w:pPr>
      <w:r>
        <w:rPr>
          <w:rFonts w:ascii="Arial" w:cs="Arial" w:eastAsia="Arial" w:hAnsi="Arial"/>
          <w:sz w:val="18"/>
          <w:szCs w:val="18"/>
          <w:color w:val="auto"/>
        </w:rPr>
        <w:t>We believe that we have significant opportunities to further enhance the value we deliver to our users, customers and platform partners. We intend to pursue the following growth strategies:</w:t>
      </w:r>
    </w:p>
    <w:p>
      <w:pPr>
        <w:spacing w:after="0" w:line="76"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user community;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 our user experience;</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61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161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monetization capabilities;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pursue strategic partnerships and acquisitions.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execute our growth strategies is subject to risks and uncertainties, including those relating to our ability to:</w:t>
      </w:r>
    </w:p>
    <w:p>
      <w:pPr>
        <w:spacing w:after="0" w:line="131"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and grow our user base and enhance user engagement;</w:t>
      </w:r>
    </w:p>
    <w:p>
      <w:pPr>
        <w:spacing w:after="0" w:line="130" w:lineRule="exact"/>
        <w:rPr>
          <w:rFonts w:ascii="Arial" w:cs="Arial" w:eastAsia="Arial" w:hAnsi="Arial"/>
          <w:sz w:val="18"/>
          <w:szCs w:val="18"/>
          <w:color w:val="auto"/>
        </w:rPr>
      </w:pPr>
    </w:p>
    <w:p>
      <w:pPr>
        <w:ind w:left="1060" w:right="3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and profit from our service offerings, continue to monetize our user base, convert our existing users into paying users and achieve profitability;</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adapt to the dynamic social networking market despite our short operating history;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brand awareness and loyalty, prevent misuse of our platform and maintain our brand image and reputation;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compete effectively for users or user engagement;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keep up with technological developments and evolving user expectations;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manage our growth and control our costs and expenses;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privacy concerns relating to our services and the use of user information.</w:t>
      </w:r>
    </w:p>
    <w:p>
      <w:pPr>
        <w:spacing w:after="0" w:line="225" w:lineRule="exact"/>
        <w:rPr>
          <w:sz w:val="20"/>
          <w:szCs w:val="20"/>
          <w:color w:val="auto"/>
        </w:rPr>
      </w:pPr>
    </w:p>
    <w:p>
      <w:pPr>
        <w:ind w:left="200" w:right="220" w:firstLine="443"/>
        <w:spacing w:after="0" w:line="264" w:lineRule="auto"/>
        <w:rPr>
          <w:sz w:val="20"/>
          <w:szCs w:val="20"/>
          <w:color w:val="auto"/>
        </w:rPr>
      </w:pPr>
      <w:r>
        <w:rPr>
          <w:rFonts w:ascii="Arial" w:cs="Arial" w:eastAsia="Arial" w:hAnsi="Arial"/>
          <w:sz w:val="18"/>
          <w:szCs w:val="18"/>
          <w:color w:val="auto"/>
        </w:rPr>
        <w:t>In addition, we face risks and uncertainties related to our compliance with applicable PRC regulations and policies, particularly those risks and uncertainties associated with our control over Beijing Momo Technology Co., Ltd., or Beijing Momo, and its subsidiary, which is based on contractual arrangements rather than equity ownership.</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Please see “Risk Factors” and other information included in this prospectus for a detailed discussion of the above and other challenges and risks.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Structure</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are a holding company incorporated in the Cayman Islands. We conduct our business through our subsidiary and our consolidated affiliated entity and its subsidiary in China. We started our operations in July 2011 when our founders established our consolidated affiliated entity Beijing Momo in China. In order to facilitate foreign investment in our company, we incorporated our holding company under the name of Momo Technology Company Limited in the British Virgin Islands in November 2011. In July 2014, Momo Technology Company Limited was redomiciled in the Cayman Islands as an exempted company registered under the laws of the Cayman Islands, and was renamed Momo Inc. In December 2011, we established Momo Technology HK Company Limited, or Momo HK, a wholly owned subsidiary, in Hong Kong. Subsequently, Momo HK established a wholly-owned PRC subsidiary, Beijing Momo Information Technology Co., Ltd., or Beijing Momo IT, in March 2012. In May 2013, we established Chengdu Momo Technology Co., Ltd., or Chengdu Momo, as a wholly owned subsidiary of Beijing Momo. In addition, we recently formed a Delaware subsidiary, which is currently conducting market research and new product development.</w:t>
      </w:r>
    </w:p>
    <w:p>
      <w:pPr>
        <w:spacing w:after="0" w:line="182"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PRC laws and regulations place certain restrictions on foreign investment in and ownership of internet-based businesses. Accordingly, we conduct our operations in China principally through Beijing Momo and its subsidiary, Chengdu Momo, over which we exercise effective control through contractual arrangements among Beijing Momo IT, Beijing Momo and its shareholders.</w:t>
      </w: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The following diagram illustrates our corporate structure, including our principal subsidiaries and consolidated affiliated entity and its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right="80" w:hanging="323"/>
        <w:spacing w:after="0" w:line="271" w:lineRule="auto"/>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exercise effective control over Beijing Momo through contractual arrangements among Beijing Momo IT, Beijing Momo and Messrs. Yan Tang, Yong Li, Xiaoliang Lei and Zhiwei Li, who hold 72.0%, 16.0%, 6.4% and 5.6% of the equity interest in Beijing Momo, respectively. The shareholders of Beijing Momo are shareholders, directors or officers of Momo Inc.</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Our principal executive offices are located at 20</w:t>
      </w:r>
      <w:r>
        <w:rPr>
          <w:rFonts w:ascii="Arial" w:cs="Arial" w:eastAsia="Arial" w:hAnsi="Arial"/>
          <w:sz w:val="15"/>
          <w:szCs w:val="15"/>
          <w:color w:val="auto"/>
        </w:rPr>
        <w:t>th</w:t>
      </w:r>
      <w:r>
        <w:rPr>
          <w:rFonts w:ascii="Arial" w:cs="Arial" w:eastAsia="Arial" w:hAnsi="Arial"/>
          <w:sz w:val="18"/>
          <w:szCs w:val="18"/>
          <w:color w:val="auto"/>
        </w:rPr>
        <w:t xml:space="preserve"> Floor, Block B, Tower 2, Wangjing SOHO, No.1 Futongdong Street, Chaoyang District, Beijing 100102, People’s Republic of China. Our telephone number at this address is +86-10-5731-0567. Our registered office in the Cayman Islands is located at P.O. Box 309, Ugland House, Grand Cayman KY1-1104, Cayman Islands.</w:t>
      </w:r>
    </w:p>
    <w:p>
      <w:pPr>
        <w:spacing w:after="0" w:line="18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 xml:space="preserve">Investors should submit any inquiries to the address and telephone number of our principal executive offices. Our main website is </w:t>
      </w:r>
      <w:r>
        <w:rPr>
          <w:rFonts w:ascii="Arial" w:cs="Arial" w:eastAsia="Arial" w:hAnsi="Arial"/>
          <w:sz w:val="18"/>
          <w:szCs w:val="18"/>
          <w:i w:val="1"/>
          <w:iCs w:val="1"/>
          <w:color w:val="auto"/>
        </w:rPr>
        <w:t>www.immomo.com</w:t>
      </w:r>
      <w:r>
        <w:rPr>
          <w:rFonts w:ascii="Arial" w:cs="Arial" w:eastAsia="Arial" w:hAnsi="Arial"/>
          <w:sz w:val="18"/>
          <w:szCs w:val="18"/>
          <w:color w:val="auto"/>
        </w:rPr>
        <w:t>. The information contained on our website is not a part of this prospectus. Our agent for service of process in the United States is Law</w:t>
      </w:r>
      <w:r>
        <w:rPr>
          <w:rFonts w:ascii="Arial" w:cs="Arial" w:eastAsia="Arial" w:hAnsi="Arial"/>
          <w:sz w:val="18"/>
          <w:szCs w:val="18"/>
          <w:i w:val="1"/>
          <w:iCs w:val="1"/>
          <w:color w:val="auto"/>
        </w:rPr>
        <w:t xml:space="preserve"> </w:t>
      </w:r>
      <w:r>
        <w:rPr>
          <w:rFonts w:ascii="Arial" w:cs="Arial" w:eastAsia="Arial" w:hAnsi="Arial"/>
          <w:sz w:val="18"/>
          <w:szCs w:val="18"/>
          <w:color w:val="auto"/>
        </w:rPr>
        <w:t>Debenture Corporate Services Inc., located at 400 Madison Avenue 4th Floor, New York, New York 10017.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As a company with less than US$1.0 billion in revenue for the last fiscal year, we qualify as an “emerging growth company” pursuant to the Jumpstart Our Business Startups Act of 2012, or the JOBS Act. As such, we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our internal control over financial reporting. Under the JOBS Act we also do not need to comply with any new or revised financial accounting standards until the date that private companies are required to do so.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00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4600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93" w:lineRule="auto"/>
        <w:rPr>
          <w:sz w:val="20"/>
          <w:szCs w:val="20"/>
          <w:color w:val="auto"/>
        </w:rPr>
      </w:pPr>
      <w:r>
        <w:rPr>
          <w:rFonts w:ascii="Arial" w:cs="Arial" w:eastAsia="Arial" w:hAnsi="Arial"/>
          <w:sz w:val="16"/>
          <w:szCs w:val="16"/>
          <w:color w:val="auto"/>
        </w:rPr>
        <w:t>We will remain an emerging growth company until the earliest of (i) the last day of our fiscal year during which we have total annual gross revenues of at least US$1.0 billion; (ii) the last day of our fiscal year following the fifth anniversary of completion of this offering; (iii) the date on which we have, during the previous three 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or the context otherwise requires, references in this prospectus to:</w:t>
      </w:r>
    </w:p>
    <w:p>
      <w:pPr>
        <w:spacing w:after="0" w:line="131" w:lineRule="exact"/>
        <w:rPr>
          <w:sz w:val="20"/>
          <w:szCs w:val="20"/>
          <w:color w:val="auto"/>
        </w:rPr>
      </w:pPr>
    </w:p>
    <w:p>
      <w:pPr>
        <w:ind w:left="1060" w:right="1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“China” or the “PRC” refers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060" w:right="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“Momo Inc.,” “we,” “us,” “our company” and “our” refer to our holding company Momo Inc., its subsidiaries and its consolidated affiliated entity and its subsidiary;</w:t>
      </w:r>
    </w:p>
    <w:p>
      <w:pPr>
        <w:spacing w:after="0" w:line="75" w:lineRule="exact"/>
        <w:rPr>
          <w:rFonts w:ascii="Arial" w:cs="Arial" w:eastAsia="Arial" w:hAnsi="Arial"/>
          <w:sz w:val="18"/>
          <w:szCs w:val="18"/>
          <w:color w:val="auto"/>
        </w:rPr>
      </w:pPr>
    </w:p>
    <w:p>
      <w:pPr>
        <w:ind w:left="1060" w:right="120" w:hanging="323"/>
        <w:spacing w:after="0" w:line="308"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“ordinary shares” prior to the completion of this offering refers to our ordinary shares of par value US$0.0001 per share, and upon and after the completion of this offering refers to our Class A and Class B ordinary shares, par value US$0.0001 per share;</w:t>
      </w:r>
    </w:p>
    <w:p>
      <w:pPr>
        <w:spacing w:after="0" w:line="51" w:lineRule="exact"/>
        <w:rPr>
          <w:rFonts w:ascii="Arial" w:cs="Arial" w:eastAsia="Arial" w:hAnsi="Arial"/>
          <w:sz w:val="17"/>
          <w:szCs w:val="17"/>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“RMB” and “Renminbi” refer to the legal currency of China;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“U.S. dollars,” “$” and “dollars” refer to the legal currency of the United States.</w:t>
      </w:r>
    </w:p>
    <w:p>
      <w:pPr>
        <w:spacing w:after="0" w:line="225" w:lineRule="exact"/>
        <w:rPr>
          <w:sz w:val="20"/>
          <w:szCs w:val="20"/>
          <w:color w:val="auto"/>
        </w:rPr>
      </w:pPr>
    </w:p>
    <w:p>
      <w:pPr>
        <w:ind w:left="200" w:right="20" w:firstLine="443"/>
        <w:spacing w:after="0" w:line="293" w:lineRule="auto"/>
        <w:rPr>
          <w:sz w:val="20"/>
          <w:szCs w:val="20"/>
          <w:color w:val="auto"/>
        </w:rPr>
      </w:pPr>
      <w:r>
        <w:rPr>
          <w:rFonts w:ascii="Arial" w:cs="Arial" w:eastAsia="Arial" w:hAnsi="Arial"/>
          <w:sz w:val="16"/>
          <w:szCs w:val="16"/>
          <w:color w:val="auto"/>
        </w:rPr>
        <w:t>Our reporting and functional currency is U.S. dollar. This prospectus contains translations of certain foreign currency amounts into U.S. dollars for the convenience of the reader. Unless otherwise stated, all translations of Renminbi into U.S. dollars were made at the rate at the end of the applicable period, that is, RMB6.0537 to US$1.00, the noon buying rate on December 31, 2013, or RMB6.1380 to US$1.00, the noon buying rate on September 30, 2014, in each case as set forth in the H.10 statistical release of the U.S. Federal Reserve Board. We make no representation that the Renminbi or U.S. dollar amounts referred to in this prospectus could have been or could be converted into U.S. dollars or Renminbi, as the case may be, at any particular rate or at all. On November 28, 2014, the noon buying rate for Renminbi was RMB6.1429 to US$1.00.</w:t>
      </w:r>
    </w:p>
    <w:p>
      <w:pPr>
        <w:spacing w:after="0" w:line="165" w:lineRule="exact"/>
        <w:rPr>
          <w:sz w:val="20"/>
          <w:szCs w:val="20"/>
          <w:color w:val="auto"/>
        </w:rPr>
      </w:pPr>
    </w:p>
    <w:p>
      <w:pPr>
        <w:jc w:val="both"/>
        <w:ind w:left="200" w:firstLine="443"/>
        <w:spacing w:after="0" w:line="312" w:lineRule="auto"/>
        <w:rPr>
          <w:sz w:val="20"/>
          <w:szCs w:val="20"/>
          <w:color w:val="auto"/>
        </w:rPr>
      </w:pPr>
      <w:r>
        <w:rPr>
          <w:rFonts w:ascii="Arial" w:cs="Arial" w:eastAsia="Arial" w:hAnsi="Arial"/>
          <w:sz w:val="16"/>
          <w:szCs w:val="16"/>
          <w:color w:val="auto"/>
        </w:rPr>
        <w:t>Unless the context indicates otherwise, all share and per share data in this prospectus give effect to a share split effected on September 12, 2012 in which each of the previously issued ordinary shares and preferred shares were split into 10 ordinary shares and preferred shares, respectively. In addition, unless the context indicates otherwise, all information in this prospectus assumes no exercise by the underwriters of their over-allotment option.</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Offering price</w:t>
      </w:r>
      <w:r>
        <w:rPr>
          <w:sz w:val="20"/>
          <w:szCs w:val="20"/>
          <w:color w:val="auto"/>
        </w:rPr>
        <w:tab/>
      </w:r>
      <w:r>
        <w:rPr>
          <w:rFonts w:ascii="Arial" w:cs="Arial" w:eastAsia="Arial" w:hAnsi="Arial"/>
          <w:sz w:val="16"/>
          <w:szCs w:val="16"/>
          <w:color w:val="auto"/>
        </w:rPr>
        <w:t>We currently estimate that the initial public offering price will be between US$12.50 and</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US$14.50 per ADS.</w:t>
      </w:r>
    </w:p>
    <w:p>
      <w:pPr>
        <w:spacing w:after="0" w:line="23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ADSs offered by us</w:t>
      </w:r>
      <w:r>
        <w:rPr>
          <w:sz w:val="20"/>
          <w:szCs w:val="20"/>
          <w:color w:val="auto"/>
        </w:rPr>
        <w:tab/>
      </w:r>
      <w:r>
        <w:rPr>
          <w:rFonts w:ascii="Arial" w:cs="Arial" w:eastAsia="Arial" w:hAnsi="Arial"/>
          <w:sz w:val="16"/>
          <w:szCs w:val="16"/>
          <w:color w:val="auto"/>
        </w:rPr>
        <w:t>16,000,000 ADSs (or 18,400,000 ADSs if the underwriters exercise their over-allotment option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in full).</w:t>
      </w:r>
    </w:p>
    <w:p>
      <w:pPr>
        <w:spacing w:after="0" w:line="23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ADSs outstanding immediately after this offering</w:t>
      </w:r>
      <w:r>
        <w:rPr>
          <w:sz w:val="20"/>
          <w:szCs w:val="20"/>
          <w:color w:val="auto"/>
        </w:rPr>
        <w:tab/>
      </w:r>
      <w:r>
        <w:rPr>
          <w:rFonts w:ascii="Arial" w:cs="Arial" w:eastAsia="Arial" w:hAnsi="Arial"/>
          <w:sz w:val="16"/>
          <w:szCs w:val="16"/>
          <w:color w:val="auto"/>
        </w:rPr>
        <w:t>16,000,000 ADSs (or 18,400,000 ADSs if the underwriters exercise their over-allotment option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in full)</w:t>
      </w:r>
    </w:p>
    <w:p>
      <w:pPr>
        <w:spacing w:after="0" w:line="23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Concurrent Private Placement</w:t>
      </w:r>
      <w:r>
        <w:rPr>
          <w:sz w:val="20"/>
          <w:szCs w:val="20"/>
          <w:color w:val="auto"/>
        </w:rPr>
        <w:tab/>
      </w:r>
      <w:r>
        <w:rPr>
          <w:rFonts w:ascii="Arial" w:cs="Arial" w:eastAsia="Arial" w:hAnsi="Arial"/>
          <w:sz w:val="16"/>
          <w:szCs w:val="16"/>
          <w:color w:val="auto"/>
        </w:rPr>
        <w:t>Concurrently with, and subject to, the completion of this offering, Alibaba Investment Limited</w:t>
      </w:r>
    </w:p>
    <w:p>
      <w:pPr>
        <w:spacing w:after="0" w:line="23" w:lineRule="exact"/>
        <w:rPr>
          <w:sz w:val="20"/>
          <w:szCs w:val="20"/>
          <w:color w:val="auto"/>
        </w:rPr>
      </w:pPr>
    </w:p>
    <w:p>
      <w:pPr>
        <w:ind w:left="4400"/>
        <w:spacing w:after="0" w:line="266" w:lineRule="auto"/>
        <w:rPr>
          <w:sz w:val="20"/>
          <w:szCs w:val="20"/>
          <w:color w:val="auto"/>
        </w:rPr>
      </w:pPr>
      <w:r>
        <w:rPr>
          <w:rFonts w:ascii="Arial" w:cs="Arial" w:eastAsia="Arial" w:hAnsi="Arial"/>
          <w:sz w:val="17"/>
          <w:szCs w:val="17"/>
          <w:color w:val="auto"/>
        </w:rPr>
        <w:t>and 58.com Inc., both of which are non-US entities, have agreed to purchase from us US$50.0 million and US$10.0 million of our Class A ordinary shares, respectively, at a price per share equal to the initial public offering price adjusted to reflect the ADS-to-ordinary share ratio, or the Concurrent Private Placement. Assuming an initial offering price of US$13.50 per ADS, the midpoint of the estimated offering price range shown on the front cover page of this prospectus, Alibaba Investment Limited and 58.com Inc. will purchase 7,407,407 and 1,481,481 Class A ordinary shares from us, respectively. Our proposed issuance and sale of Class A ordinary shares to these investors are being made through private placement pursuant to an exemption from registration with the U.S. Securities and Exchange Commission under Regulation S of the Securities Act. Under the subscription agreements executed on November 28, 2014, the completion of this offering is the only substantive closing condition precedent for the concurrent private placement and if this offering is completed, the concurrent private placement will be completed concurrently. All of the investors have agreed with the underwriters not to, directly or indirectly, sell, transfer or dispose of any Class A ordinary shares acquired in the private placement for a period of 180 days after the date of this prospectus, subject to certain exceptions.</w:t>
      </w:r>
    </w:p>
    <w:p>
      <w:pPr>
        <w:sectPr>
          <w:pgSz w:w="11900" w:h="16838" w:orient="portrait"/>
          <w:cols w:equalWidth="0" w:num="1">
            <w:col w:w="11260"/>
          </w:cols>
          <w:pgMar w:left="240" w:top="459" w:right="399" w:bottom="1440" w:gutter="0" w:footer="0" w:header="0"/>
        </w:sectPr>
      </w:pPr>
    </w:p>
    <w:p>
      <w:pPr>
        <w:spacing w:after="0" w:line="220"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will adopt a dual class ordinary share structure immediately prior to the completion of this offering. 372,956,110 ordinary shares, comprised of 276,069,740 Class A ordinary shares (including 8,888,888 Class A ordinary shares we will issue in the Concurrent Private Placement, which number of shares has been calculated based on an assumed initial offering price of US$13.50 per ADS, the midpoint of the estimated offering price range shown on the front cover page of this prospectus) and 96,886,370 Class B ordinary shares (or 377,756,110 ordinary shares if the underwriters exercise their over-allotment option in full, comprised of 280,869,740 Class A ordinary shares and 96,886,370 Class B ordinary shares) will be issued and outstanding immediately upon the completion of this offering. Class B ordinary shares issued and outstanding immediately</w:t>
      </w:r>
    </w:p>
    <w:p>
      <w:pPr>
        <w:spacing w:after="0" w:line="200" w:lineRule="exact"/>
        <w:rPr>
          <w:sz w:val="20"/>
          <w:szCs w:val="20"/>
          <w:color w:val="auto"/>
        </w:rPr>
      </w:pPr>
    </w:p>
    <w:p>
      <w:pPr>
        <w:sectPr>
          <w:pgSz w:w="11900" w:h="16838" w:orient="portrait"/>
          <w:cols w:equalWidth="0" w:num="2">
            <w:col w:w="3860" w:space="540"/>
            <w:col w:w="6860"/>
          </w:cols>
          <w:pgMar w:left="240" w:top="459" w:right="399" w:bottom="1440" w:gutter="0" w:footer="0" w:header="0"/>
          <w:type w:val="continuous"/>
        </w:sectPr>
      </w:pP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24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2880" w:type="dxa"/>
            <w:vAlign w:val="bottom"/>
            <w:tcBorders>
              <w:top w:val="single" w:sz="8" w:color="auto"/>
              <w:left w:val="single" w:sz="8" w:color="auto"/>
            </w:tcBorders>
          </w:tcPr>
          <w:p>
            <w:pPr>
              <w:spacing w:after="0"/>
              <w:rPr>
                <w:sz w:val="24"/>
                <w:szCs w:val="24"/>
                <w:color w:val="auto"/>
              </w:rPr>
            </w:pPr>
          </w:p>
        </w:tc>
        <w:tc>
          <w:tcPr>
            <w:tcW w:w="8580" w:type="dxa"/>
            <w:vAlign w:val="bottom"/>
            <w:tcBorders>
              <w:top w:val="single" w:sz="8" w:color="auto"/>
              <w:right w:val="single" w:sz="8" w:color="auto"/>
            </w:tcBorders>
          </w:tcPr>
          <w:p>
            <w:pPr>
              <w:ind w:left="1520"/>
              <w:spacing w:after="0"/>
              <w:rPr>
                <w:sz w:val="20"/>
                <w:szCs w:val="20"/>
                <w:color w:val="auto"/>
              </w:rPr>
            </w:pPr>
            <w:r>
              <w:rPr>
                <w:rFonts w:ascii="Arial" w:cs="Arial" w:eastAsia="Arial" w:hAnsi="Arial"/>
                <w:sz w:val="18"/>
                <w:szCs w:val="18"/>
                <w:color w:val="auto"/>
                <w:w w:val="97"/>
              </w:rPr>
              <w:t>after the completion of this offering will represent 26.0% of our total issued and outstanding</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4"/>
              </w:rPr>
              <w:t>shares and 77.8% of the then total voting power (or 25.6% of our total issued and outstanding</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shares and 77.5% of the then total voting power if the underwriters exercise their over-</w:t>
            </w:r>
          </w:p>
        </w:tc>
      </w:tr>
      <w:tr>
        <w:trPr>
          <w:trHeight w:val="230"/>
        </w:trPr>
        <w:tc>
          <w:tcPr>
            <w:tcW w:w="2880" w:type="dxa"/>
            <w:vAlign w:val="bottom"/>
            <w:tcBorders>
              <w:left w:val="single" w:sz="8" w:color="auto"/>
            </w:tcBorders>
          </w:tcPr>
          <w:p>
            <w:pPr>
              <w:spacing w:after="0"/>
              <w:rPr>
                <w:sz w:val="20"/>
                <w:szCs w:val="20"/>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allotment option in full).</w:t>
            </w:r>
          </w:p>
        </w:tc>
      </w:tr>
      <w:tr>
        <w:trPr>
          <w:trHeight w:val="473"/>
        </w:trPr>
        <w:tc>
          <w:tcPr>
            <w:tcW w:w="28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The ADSs</w:t>
            </w: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Each ADS represents two Class A ordinary shares of par value US$0.0001 per share.</w:t>
            </w:r>
          </w:p>
        </w:tc>
      </w:tr>
      <w:tr>
        <w:trPr>
          <w:trHeight w:val="458"/>
        </w:trPr>
        <w:tc>
          <w:tcPr>
            <w:tcW w:w="2880" w:type="dxa"/>
            <w:vAlign w:val="bottom"/>
            <w:tcBorders>
              <w:left w:val="single" w:sz="8" w:color="auto"/>
            </w:tcBorders>
          </w:tcPr>
          <w:p>
            <w:pPr>
              <w:spacing w:after="0"/>
              <w:rPr>
                <w:sz w:val="24"/>
                <w:szCs w:val="24"/>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6"/>
              </w:rPr>
              <w:t>The depositary will hold Class A ordinary shares underlying your ADSs. You will have rights</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7"/>
              </w:rPr>
              <w:t>as provided in the deposit agreement among us, the depositary and holders and beneficial</w:t>
            </w:r>
          </w:p>
        </w:tc>
      </w:tr>
      <w:tr>
        <w:trPr>
          <w:trHeight w:val="230"/>
        </w:trPr>
        <w:tc>
          <w:tcPr>
            <w:tcW w:w="2880" w:type="dxa"/>
            <w:vAlign w:val="bottom"/>
            <w:tcBorders>
              <w:left w:val="single" w:sz="8" w:color="auto"/>
            </w:tcBorders>
          </w:tcPr>
          <w:p>
            <w:pPr>
              <w:spacing w:after="0"/>
              <w:rPr>
                <w:sz w:val="20"/>
                <w:szCs w:val="20"/>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owners of ADSs from time to time.</w:t>
            </w:r>
          </w:p>
        </w:tc>
      </w:tr>
      <w:tr>
        <w:trPr>
          <w:trHeight w:val="445"/>
        </w:trPr>
        <w:tc>
          <w:tcPr>
            <w:tcW w:w="2880" w:type="dxa"/>
            <w:vAlign w:val="bottom"/>
            <w:tcBorders>
              <w:left w:val="single" w:sz="8" w:color="auto"/>
            </w:tcBorders>
          </w:tcPr>
          <w:p>
            <w:pPr>
              <w:spacing w:after="0"/>
              <w:rPr>
                <w:sz w:val="24"/>
                <w:szCs w:val="24"/>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3"/>
              </w:rPr>
              <w:t>We do not expect to pay dividends in the foreseeable future. If, however, we declare dividends</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3"/>
              </w:rPr>
              <w:t>on our ordinary shares, the depositary will pay you the cash dividends and other distributions it</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4"/>
              </w:rPr>
              <w:t>receives on our Class A ordinary shares after deducting its fees and expenses in accordance</w:t>
            </w:r>
          </w:p>
        </w:tc>
      </w:tr>
      <w:tr>
        <w:trPr>
          <w:trHeight w:val="230"/>
        </w:trPr>
        <w:tc>
          <w:tcPr>
            <w:tcW w:w="2880" w:type="dxa"/>
            <w:vAlign w:val="bottom"/>
            <w:tcBorders>
              <w:left w:val="single" w:sz="8" w:color="auto"/>
            </w:tcBorders>
          </w:tcPr>
          <w:p>
            <w:pPr>
              <w:spacing w:after="0"/>
              <w:rPr>
                <w:sz w:val="20"/>
                <w:szCs w:val="20"/>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with the terms set forth in the deposit agreement.</w:t>
            </w:r>
          </w:p>
        </w:tc>
      </w:tr>
      <w:tr>
        <w:trPr>
          <w:trHeight w:val="445"/>
        </w:trPr>
        <w:tc>
          <w:tcPr>
            <w:tcW w:w="2880" w:type="dxa"/>
            <w:vAlign w:val="bottom"/>
            <w:tcBorders>
              <w:left w:val="single" w:sz="8" w:color="auto"/>
            </w:tcBorders>
          </w:tcPr>
          <w:p>
            <w:pPr>
              <w:spacing w:after="0"/>
              <w:rPr>
                <w:sz w:val="24"/>
                <w:szCs w:val="24"/>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4"/>
              </w:rPr>
              <w:t>You may surrender your ADSs to the depositary in exchange for our Class A ordinary shares.</w:t>
            </w:r>
          </w:p>
        </w:tc>
      </w:tr>
      <w:tr>
        <w:trPr>
          <w:trHeight w:val="230"/>
        </w:trPr>
        <w:tc>
          <w:tcPr>
            <w:tcW w:w="2880" w:type="dxa"/>
            <w:vAlign w:val="bottom"/>
            <w:tcBorders>
              <w:left w:val="single" w:sz="8" w:color="auto"/>
            </w:tcBorders>
          </w:tcPr>
          <w:p>
            <w:pPr>
              <w:spacing w:after="0"/>
              <w:rPr>
                <w:sz w:val="20"/>
                <w:szCs w:val="20"/>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The depositary will charge you fees for any exchange.</w:t>
            </w:r>
          </w:p>
        </w:tc>
      </w:tr>
      <w:tr>
        <w:trPr>
          <w:trHeight w:val="445"/>
        </w:trPr>
        <w:tc>
          <w:tcPr>
            <w:tcW w:w="2880" w:type="dxa"/>
            <w:vAlign w:val="bottom"/>
            <w:tcBorders>
              <w:left w:val="single" w:sz="8" w:color="auto"/>
            </w:tcBorders>
          </w:tcPr>
          <w:p>
            <w:pPr>
              <w:spacing w:after="0"/>
              <w:rPr>
                <w:sz w:val="24"/>
                <w:szCs w:val="24"/>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6"/>
              </w:rPr>
              <w:t>We may amend or terminate the deposit agreement without your consent. If you continue to</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4"/>
              </w:rPr>
              <w:t>hold your ADSs after an amendment to the deposit agreement, you agree to be bound by the</w:t>
            </w:r>
          </w:p>
        </w:tc>
      </w:tr>
      <w:tr>
        <w:trPr>
          <w:trHeight w:val="230"/>
        </w:trPr>
        <w:tc>
          <w:tcPr>
            <w:tcW w:w="2880" w:type="dxa"/>
            <w:vAlign w:val="bottom"/>
            <w:tcBorders>
              <w:left w:val="single" w:sz="8" w:color="auto"/>
            </w:tcBorders>
          </w:tcPr>
          <w:p>
            <w:pPr>
              <w:spacing w:after="0"/>
              <w:rPr>
                <w:sz w:val="20"/>
                <w:szCs w:val="20"/>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deposit agreement as amended.</w:t>
            </w:r>
          </w:p>
        </w:tc>
      </w:tr>
      <w:tr>
        <w:trPr>
          <w:trHeight w:val="445"/>
        </w:trPr>
        <w:tc>
          <w:tcPr>
            <w:tcW w:w="2880" w:type="dxa"/>
            <w:vAlign w:val="bottom"/>
            <w:tcBorders>
              <w:left w:val="single" w:sz="8" w:color="auto"/>
            </w:tcBorders>
          </w:tcPr>
          <w:p>
            <w:pPr>
              <w:spacing w:after="0"/>
              <w:rPr>
                <w:sz w:val="24"/>
                <w:szCs w:val="24"/>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8"/>
              </w:rPr>
              <w:t>To better understand the terms of the ADSs, you should carefully read the “Description of</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8"/>
              </w:rPr>
              <w:t>American Depositary Shares” section of this prospectus. You should also read the deposit</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agreement, which is filed as an exhibit to the registration statement that includes this</w:t>
            </w:r>
          </w:p>
        </w:tc>
      </w:tr>
      <w:tr>
        <w:trPr>
          <w:trHeight w:val="230"/>
        </w:trPr>
        <w:tc>
          <w:tcPr>
            <w:tcW w:w="2880" w:type="dxa"/>
            <w:vAlign w:val="bottom"/>
            <w:tcBorders>
              <w:left w:val="single" w:sz="8" w:color="auto"/>
            </w:tcBorders>
          </w:tcPr>
          <w:p>
            <w:pPr>
              <w:spacing w:after="0"/>
              <w:rPr>
                <w:sz w:val="20"/>
                <w:szCs w:val="20"/>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prospectus.</w:t>
            </w:r>
          </w:p>
        </w:tc>
      </w:tr>
      <w:tr>
        <w:trPr>
          <w:trHeight w:val="445"/>
        </w:trPr>
        <w:tc>
          <w:tcPr>
            <w:tcW w:w="28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Ordinary shares</w:t>
            </w: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5"/>
              </w:rPr>
              <w:t>Our ordinary shares will be divided into Class A ordinary shares and Class B ordinary shares</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7"/>
              </w:rPr>
              <w:t>immediately prior to the completion of this offering. Holders of Class A ordinary shares and</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5"/>
              </w:rPr>
              <w:t>Class B ordinary shares will have the same rights except for voting and conversion rights. In</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3"/>
              </w:rPr>
              <w:t>respect of matters requiring a shareholder vote, each Class A ordinary share will be entitled to</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4"/>
              </w:rPr>
              <w:t>one vote, and each Class B ordinary share will be entitled to ten votes. Each Class B ordinary</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4"/>
              </w:rPr>
              <w:t>share is convertible into one Class A ordinary share at any time by the holder thereof. Class A</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7"/>
              </w:rPr>
              <w:t>ordinary shares are not convertible into Class B ordinary shares under any circumstances.</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7"/>
              </w:rPr>
              <w:t>Upon any transfer of beneficial ownership of Class B ordinary shares by a beneficial owner</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6"/>
              </w:rPr>
              <w:t>thereof to any person or entity which is not an affiliate of such owner, such Class B ordinary</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7"/>
              </w:rPr>
              <w:t>shares shall be automatically and immediately converted into the same number of Class A</w:t>
            </w:r>
          </w:p>
        </w:tc>
      </w:tr>
      <w:tr>
        <w:trPr>
          <w:trHeight w:val="216"/>
        </w:trPr>
        <w:tc>
          <w:tcPr>
            <w:tcW w:w="288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3"/>
              </w:rPr>
              <w:t>ordinary shares. For a description of Class A ordinary shares and Class B ordinary shares, see</w:t>
            </w:r>
          </w:p>
        </w:tc>
      </w:tr>
      <w:tr>
        <w:trPr>
          <w:trHeight w:val="230"/>
        </w:trPr>
        <w:tc>
          <w:tcPr>
            <w:tcW w:w="2880" w:type="dxa"/>
            <w:vAlign w:val="bottom"/>
            <w:tcBorders>
              <w:left w:val="single" w:sz="8" w:color="auto"/>
            </w:tcBorders>
          </w:tcPr>
          <w:p>
            <w:pPr>
              <w:spacing w:after="0"/>
              <w:rPr>
                <w:sz w:val="20"/>
                <w:szCs w:val="20"/>
                <w:color w:val="auto"/>
              </w:rPr>
            </w:pPr>
          </w:p>
        </w:tc>
        <w:tc>
          <w:tcPr>
            <w:tcW w:w="858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“Description of Share Capital.”</w:t>
            </w:r>
          </w:p>
        </w:tc>
      </w:tr>
      <w:tr>
        <w:trPr>
          <w:trHeight w:val="159"/>
        </w:trPr>
        <w:tc>
          <w:tcPr>
            <w:tcW w:w="2880" w:type="dxa"/>
            <w:vAlign w:val="bottom"/>
            <w:tcBorders>
              <w:left w:val="single" w:sz="8" w:color="auto"/>
              <w:bottom w:val="single" w:sz="8" w:color="auto"/>
            </w:tcBorders>
          </w:tcPr>
          <w:p>
            <w:pPr>
              <w:spacing w:after="0"/>
              <w:rPr>
                <w:sz w:val="13"/>
                <w:szCs w:val="13"/>
                <w:color w:val="auto"/>
              </w:rPr>
            </w:pPr>
          </w:p>
        </w:tc>
        <w:tc>
          <w:tcPr>
            <w:tcW w:w="8580" w:type="dxa"/>
            <w:vAlign w:val="bottom"/>
            <w:tcBorders>
              <w:bottom w:val="single" w:sz="8" w:color="auto"/>
              <w:right w:val="single" w:sz="8" w:color="auto"/>
            </w:tcBorders>
          </w:tcPr>
          <w:p>
            <w:pPr>
              <w:spacing w:after="0"/>
              <w:rPr>
                <w:sz w:val="13"/>
                <w:szCs w:val="13"/>
                <w:color w:val="auto"/>
              </w:rPr>
            </w:pPr>
          </w:p>
        </w:tc>
      </w:tr>
      <w:tr>
        <w:trPr>
          <w:trHeight w:val="361"/>
        </w:trPr>
        <w:tc>
          <w:tcPr>
            <w:tcW w:w="2880" w:type="dxa"/>
            <w:vAlign w:val="bottom"/>
          </w:tcPr>
          <w:p>
            <w:pPr>
              <w:spacing w:after="0"/>
              <w:rPr>
                <w:sz w:val="24"/>
                <w:szCs w:val="24"/>
                <w:color w:val="auto"/>
              </w:rPr>
            </w:pPr>
          </w:p>
        </w:tc>
        <w:tc>
          <w:tcPr>
            <w:tcW w:w="8580" w:type="dxa"/>
            <w:vAlign w:val="bottom"/>
          </w:tcPr>
          <w:p>
            <w:pPr>
              <w:ind w:left="278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Over-allotment option</w:t>
            </w: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0"/>
              </w:rPr>
              <w:t>We have granted to the underwriters an option, exercisable within 30 days from the date of this</w:t>
            </w:r>
          </w:p>
        </w:tc>
      </w:tr>
      <w:tr>
        <w:trPr>
          <w:trHeight w:val="230"/>
        </w:trPr>
        <w:tc>
          <w:tcPr>
            <w:tcW w:w="2960" w:type="dxa"/>
            <w:vAlign w:val="bottom"/>
          </w:tcPr>
          <w:p>
            <w:pPr>
              <w:spacing w:after="0"/>
              <w:rPr>
                <w:sz w:val="20"/>
                <w:szCs w:val="20"/>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rPr>
              <w:t>prospectus, to purchase up to an aggregate of 2,400,000 additional ADSs.</w:t>
            </w:r>
          </w:p>
        </w:tc>
      </w:tr>
      <w:tr>
        <w:trPr>
          <w:trHeight w:val="445"/>
        </w:trPr>
        <w:tc>
          <w:tcPr>
            <w:tcW w:w="2960" w:type="dxa"/>
            <w:vAlign w:val="bottom"/>
          </w:tcPr>
          <w:p>
            <w:pPr>
              <w:spacing w:after="0"/>
              <w:rPr>
                <w:sz w:val="20"/>
                <w:szCs w:val="20"/>
                <w:color w:val="auto"/>
              </w:rPr>
            </w:pPr>
            <w:r>
              <w:rPr>
                <w:rFonts w:ascii="Arial" w:cs="Arial" w:eastAsia="Arial" w:hAnsi="Arial"/>
                <w:sz w:val="18"/>
                <w:szCs w:val="18"/>
                <w:color w:val="auto"/>
              </w:rPr>
              <w:t>Use of proceeds</w:t>
            </w: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3"/>
              </w:rPr>
              <w:t>We expect to receive net proceeds of approximately US$256.5 million from this offering and</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4"/>
              </w:rPr>
              <w:t>the Concurrent Private Placement, assuming an initial public offering price of US$13.50 per</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4"/>
              </w:rPr>
              <w:t>ADS, which is the midpoint of the estimated range of the initial public offering price, and the</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5"/>
              </w:rPr>
              <w:t>underwriters do not exercise their over-allotment option to purchase additional ADSs, after</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2"/>
              </w:rPr>
              <w:t>deducting underwriting discounts and commissions and estimated offering expenses payable</w:t>
            </w:r>
          </w:p>
        </w:tc>
      </w:tr>
      <w:tr>
        <w:trPr>
          <w:trHeight w:val="230"/>
        </w:trPr>
        <w:tc>
          <w:tcPr>
            <w:tcW w:w="2960" w:type="dxa"/>
            <w:vAlign w:val="bottom"/>
          </w:tcPr>
          <w:p>
            <w:pPr>
              <w:spacing w:after="0"/>
              <w:rPr>
                <w:sz w:val="20"/>
                <w:szCs w:val="20"/>
                <w:color w:val="auto"/>
              </w:rPr>
            </w:pPr>
          </w:p>
        </w:tc>
        <w:tc>
          <w:tcPr>
            <w:tcW w:w="4560" w:type="dxa"/>
            <w:vAlign w:val="bottom"/>
          </w:tcPr>
          <w:p>
            <w:pPr>
              <w:ind w:left="1240"/>
              <w:spacing w:after="0"/>
              <w:rPr>
                <w:sz w:val="20"/>
                <w:szCs w:val="20"/>
                <w:color w:val="auto"/>
              </w:rPr>
            </w:pPr>
            <w:r>
              <w:rPr>
                <w:rFonts w:ascii="Arial" w:cs="Arial" w:eastAsia="Arial" w:hAnsi="Arial"/>
                <w:sz w:val="18"/>
                <w:szCs w:val="18"/>
                <w:color w:val="auto"/>
              </w:rPr>
              <w:t>by us.</w:t>
            </w:r>
          </w:p>
        </w:tc>
        <w:tc>
          <w:tcPr>
            <w:tcW w:w="3520" w:type="dxa"/>
            <w:vAlign w:val="bottom"/>
          </w:tcPr>
          <w:p>
            <w:pPr>
              <w:spacing w:after="0"/>
              <w:rPr>
                <w:sz w:val="20"/>
                <w:szCs w:val="20"/>
                <w:color w:val="auto"/>
              </w:rPr>
            </w:pPr>
          </w:p>
        </w:tc>
      </w:tr>
      <w:tr>
        <w:trPr>
          <w:trHeight w:val="445"/>
        </w:trPr>
        <w:tc>
          <w:tcPr>
            <w:tcW w:w="2960" w:type="dxa"/>
            <w:vAlign w:val="bottom"/>
          </w:tcPr>
          <w:p>
            <w:pPr>
              <w:spacing w:after="0"/>
              <w:rPr>
                <w:sz w:val="24"/>
                <w:szCs w:val="24"/>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4"/>
              </w:rPr>
              <w:t>We intend to use the net proceeds from this offering and the Concurrent Private Placement</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1"/>
              </w:rPr>
              <w:t>primarily for general corporate purposes, which may include research and development, sales</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1"/>
              </w:rPr>
              <w:t>and marketing activities, technology infrastructure, capital expenditures and other general and</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1"/>
              </w:rPr>
              <w:t>administrative matters. We may also use a portion of these proceeds for the acquisitions of, or</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1"/>
              </w:rPr>
              <w:t>investments in, technologies, solutions or businesses that complement our business, although</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0"/>
              </w:rPr>
              <w:t>we have no present commitments or agreements to enter into any acquisitions or investments.</w:t>
            </w:r>
          </w:p>
        </w:tc>
      </w:tr>
      <w:tr>
        <w:trPr>
          <w:trHeight w:val="230"/>
        </w:trPr>
        <w:tc>
          <w:tcPr>
            <w:tcW w:w="2960" w:type="dxa"/>
            <w:vAlign w:val="bottom"/>
          </w:tcPr>
          <w:p>
            <w:pPr>
              <w:spacing w:after="0"/>
              <w:rPr>
                <w:sz w:val="20"/>
                <w:szCs w:val="20"/>
                <w:color w:val="auto"/>
              </w:rPr>
            </w:pPr>
          </w:p>
        </w:tc>
        <w:tc>
          <w:tcPr>
            <w:tcW w:w="4560" w:type="dxa"/>
            <w:vAlign w:val="bottom"/>
          </w:tcPr>
          <w:p>
            <w:pPr>
              <w:ind w:left="1240"/>
              <w:spacing w:after="0"/>
              <w:rPr>
                <w:sz w:val="20"/>
                <w:szCs w:val="20"/>
                <w:color w:val="auto"/>
              </w:rPr>
            </w:pPr>
            <w:r>
              <w:rPr>
                <w:rFonts w:ascii="Arial" w:cs="Arial" w:eastAsia="Arial" w:hAnsi="Arial"/>
                <w:sz w:val="18"/>
                <w:szCs w:val="18"/>
                <w:color w:val="auto"/>
                <w:w w:val="93"/>
              </w:rPr>
              <w:t>See “Use of Proceeds” for more information.</w:t>
            </w:r>
          </w:p>
        </w:tc>
        <w:tc>
          <w:tcPr>
            <w:tcW w:w="3520" w:type="dxa"/>
            <w:vAlign w:val="bottom"/>
          </w:tcPr>
          <w:p>
            <w:pPr>
              <w:spacing w:after="0"/>
              <w:rPr>
                <w:sz w:val="20"/>
                <w:szCs w:val="20"/>
                <w:color w:val="auto"/>
              </w:rPr>
            </w:pPr>
          </w:p>
        </w:tc>
      </w:tr>
      <w:tr>
        <w:trPr>
          <w:trHeight w:val="445"/>
        </w:trPr>
        <w:tc>
          <w:tcPr>
            <w:tcW w:w="2960" w:type="dxa"/>
            <w:vAlign w:val="bottom"/>
          </w:tcPr>
          <w:p>
            <w:pPr>
              <w:spacing w:after="0"/>
              <w:rPr>
                <w:sz w:val="20"/>
                <w:szCs w:val="20"/>
                <w:color w:val="auto"/>
              </w:rPr>
            </w:pPr>
            <w:r>
              <w:rPr>
                <w:rFonts w:ascii="Arial" w:cs="Arial" w:eastAsia="Arial" w:hAnsi="Arial"/>
                <w:sz w:val="18"/>
                <w:szCs w:val="18"/>
                <w:color w:val="auto"/>
              </w:rPr>
              <w:t>Lock-up</w:t>
            </w: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1"/>
              </w:rPr>
              <w:t>We, our directors, executive officers, our existing shareholders, certain option holders and the</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3"/>
              </w:rPr>
              <w:t>investors in the Concurrent Private Placement have agreed with the underwriters not to sell,</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1"/>
              </w:rPr>
              <w:t>transfer or dispose of any ADSs, ordinary shares or similar securities for a period of 180 days</w:t>
            </w:r>
          </w:p>
        </w:tc>
      </w:tr>
      <w:tr>
        <w:trPr>
          <w:trHeight w:val="230"/>
        </w:trPr>
        <w:tc>
          <w:tcPr>
            <w:tcW w:w="2960" w:type="dxa"/>
            <w:vAlign w:val="bottom"/>
          </w:tcPr>
          <w:p>
            <w:pPr>
              <w:spacing w:after="0"/>
              <w:rPr>
                <w:sz w:val="20"/>
                <w:szCs w:val="20"/>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5"/>
              </w:rPr>
              <w:t>after the date of this prospectus. See “Shares Eligible for Future Sale” and “Underwriting.”</w:t>
            </w:r>
          </w:p>
        </w:tc>
      </w:tr>
      <w:tr>
        <w:trPr>
          <w:trHeight w:val="445"/>
        </w:trPr>
        <w:tc>
          <w:tcPr>
            <w:tcW w:w="2960" w:type="dxa"/>
            <w:vAlign w:val="bottom"/>
          </w:tcPr>
          <w:p>
            <w:pPr>
              <w:spacing w:after="0"/>
              <w:rPr>
                <w:sz w:val="20"/>
                <w:szCs w:val="20"/>
                <w:color w:val="auto"/>
              </w:rPr>
            </w:pPr>
            <w:r>
              <w:rPr>
                <w:rFonts w:ascii="Arial" w:cs="Arial" w:eastAsia="Arial" w:hAnsi="Arial"/>
                <w:sz w:val="18"/>
                <w:szCs w:val="18"/>
                <w:color w:val="auto"/>
              </w:rPr>
              <w:t>Reserved ADSs</w:t>
            </w: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1"/>
              </w:rPr>
              <w:t>At our request, the underwriters have reserved for sale, at the initial public offering price, up to</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6"/>
              </w:rPr>
              <w:t>an aggregate of 1,120,000 ADSs offered in this offering to some of our directors, officers,</w:t>
            </w:r>
          </w:p>
        </w:tc>
      </w:tr>
      <w:tr>
        <w:trPr>
          <w:trHeight w:val="230"/>
        </w:trPr>
        <w:tc>
          <w:tcPr>
            <w:tcW w:w="2960" w:type="dxa"/>
            <w:vAlign w:val="bottom"/>
          </w:tcPr>
          <w:p>
            <w:pPr>
              <w:spacing w:after="0"/>
              <w:rPr>
                <w:sz w:val="20"/>
                <w:szCs w:val="20"/>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7"/>
              </w:rPr>
              <w:t>employees, business associates and related persons through a directed share program.</w:t>
            </w:r>
          </w:p>
        </w:tc>
      </w:tr>
      <w:tr>
        <w:trPr>
          <w:trHeight w:val="445"/>
        </w:trPr>
        <w:tc>
          <w:tcPr>
            <w:tcW w:w="2960" w:type="dxa"/>
            <w:vAlign w:val="bottom"/>
          </w:tcPr>
          <w:p>
            <w:pPr>
              <w:spacing w:after="0"/>
              <w:rPr>
                <w:sz w:val="20"/>
                <w:szCs w:val="20"/>
                <w:color w:val="auto"/>
              </w:rPr>
            </w:pPr>
            <w:r>
              <w:rPr>
                <w:rFonts w:ascii="Arial" w:cs="Arial" w:eastAsia="Arial" w:hAnsi="Arial"/>
                <w:sz w:val="18"/>
                <w:szCs w:val="18"/>
                <w:color w:val="auto"/>
              </w:rPr>
              <w:t>Listing</w:t>
            </w: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5"/>
              </w:rPr>
              <w:t>Our ADSs have been approved for listing on the NASDAQ Global Select Market under the</w:t>
            </w:r>
          </w:p>
        </w:tc>
      </w:tr>
      <w:tr>
        <w:trPr>
          <w:trHeight w:val="216"/>
        </w:trPr>
        <w:tc>
          <w:tcPr>
            <w:tcW w:w="2960" w:type="dxa"/>
            <w:vAlign w:val="bottom"/>
          </w:tcPr>
          <w:p>
            <w:pPr>
              <w:spacing w:after="0"/>
              <w:rPr>
                <w:sz w:val="18"/>
                <w:szCs w:val="18"/>
                <w:color w:val="auto"/>
              </w:rPr>
            </w:pP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6"/>
              </w:rPr>
              <w:t>symbol “MOMO.” Our ADSs and shares will not be listed on any other stock exchange or</w:t>
            </w:r>
          </w:p>
        </w:tc>
      </w:tr>
      <w:tr>
        <w:trPr>
          <w:trHeight w:val="230"/>
        </w:trPr>
        <w:tc>
          <w:tcPr>
            <w:tcW w:w="2960" w:type="dxa"/>
            <w:vAlign w:val="bottom"/>
          </w:tcPr>
          <w:p>
            <w:pPr>
              <w:spacing w:after="0"/>
              <w:rPr>
                <w:sz w:val="20"/>
                <w:szCs w:val="20"/>
                <w:color w:val="auto"/>
              </w:rPr>
            </w:pPr>
          </w:p>
        </w:tc>
        <w:tc>
          <w:tcPr>
            <w:tcW w:w="4560" w:type="dxa"/>
            <w:vAlign w:val="bottom"/>
          </w:tcPr>
          <w:p>
            <w:pPr>
              <w:ind w:left="1240"/>
              <w:spacing w:after="0"/>
              <w:rPr>
                <w:sz w:val="20"/>
                <w:szCs w:val="20"/>
                <w:color w:val="auto"/>
              </w:rPr>
            </w:pPr>
            <w:r>
              <w:rPr>
                <w:rFonts w:ascii="Arial" w:cs="Arial" w:eastAsia="Arial" w:hAnsi="Arial"/>
                <w:sz w:val="18"/>
                <w:szCs w:val="18"/>
                <w:color w:val="auto"/>
                <w:w w:val="95"/>
              </w:rPr>
              <w:t>traded on any automated quotation system.</w:t>
            </w:r>
          </w:p>
        </w:tc>
        <w:tc>
          <w:tcPr>
            <w:tcW w:w="3520" w:type="dxa"/>
            <w:vAlign w:val="bottom"/>
          </w:tcPr>
          <w:p>
            <w:pPr>
              <w:spacing w:after="0"/>
              <w:rPr>
                <w:sz w:val="20"/>
                <w:szCs w:val="20"/>
                <w:color w:val="auto"/>
              </w:rPr>
            </w:pPr>
          </w:p>
        </w:tc>
      </w:tr>
      <w:tr>
        <w:trPr>
          <w:trHeight w:val="445"/>
        </w:trPr>
        <w:tc>
          <w:tcPr>
            <w:tcW w:w="2960" w:type="dxa"/>
            <w:vAlign w:val="bottom"/>
          </w:tcPr>
          <w:p>
            <w:pPr>
              <w:spacing w:after="0"/>
              <w:rPr>
                <w:sz w:val="20"/>
                <w:szCs w:val="20"/>
                <w:color w:val="auto"/>
              </w:rPr>
            </w:pPr>
            <w:r>
              <w:rPr>
                <w:rFonts w:ascii="Arial" w:cs="Arial" w:eastAsia="Arial" w:hAnsi="Arial"/>
                <w:sz w:val="18"/>
                <w:szCs w:val="18"/>
                <w:color w:val="auto"/>
              </w:rPr>
              <w:t>Payment and settlement</w:t>
            </w:r>
          </w:p>
        </w:tc>
        <w:tc>
          <w:tcPr>
            <w:tcW w:w="8080" w:type="dxa"/>
            <w:vAlign w:val="bottom"/>
            <w:gridSpan w:val="2"/>
          </w:tcPr>
          <w:p>
            <w:pPr>
              <w:ind w:left="1240"/>
              <w:spacing w:after="0"/>
              <w:rPr>
                <w:sz w:val="20"/>
                <w:szCs w:val="20"/>
                <w:color w:val="auto"/>
              </w:rPr>
            </w:pPr>
            <w:r>
              <w:rPr>
                <w:rFonts w:ascii="Arial" w:cs="Arial" w:eastAsia="Arial" w:hAnsi="Arial"/>
                <w:sz w:val="18"/>
                <w:szCs w:val="18"/>
                <w:color w:val="auto"/>
                <w:w w:val="91"/>
              </w:rPr>
              <w:t>The underwriters expect to deliver the ADSs against payment therefor through the facilities of</w:t>
            </w:r>
          </w:p>
        </w:tc>
      </w:tr>
      <w:tr>
        <w:trPr>
          <w:trHeight w:val="230"/>
        </w:trPr>
        <w:tc>
          <w:tcPr>
            <w:tcW w:w="2960" w:type="dxa"/>
            <w:vAlign w:val="bottom"/>
          </w:tcPr>
          <w:p>
            <w:pPr>
              <w:spacing w:after="0"/>
              <w:rPr>
                <w:sz w:val="20"/>
                <w:szCs w:val="20"/>
                <w:color w:val="auto"/>
              </w:rPr>
            </w:pPr>
          </w:p>
        </w:tc>
        <w:tc>
          <w:tcPr>
            <w:tcW w:w="4560" w:type="dxa"/>
            <w:vAlign w:val="bottom"/>
          </w:tcPr>
          <w:p>
            <w:pPr>
              <w:ind w:left="1240"/>
              <w:spacing w:after="0"/>
              <w:rPr>
                <w:sz w:val="20"/>
                <w:szCs w:val="20"/>
                <w:color w:val="auto"/>
              </w:rPr>
            </w:pPr>
            <w:r>
              <w:rPr>
                <w:rFonts w:ascii="Arial" w:cs="Arial" w:eastAsia="Arial" w:hAnsi="Arial"/>
                <w:sz w:val="18"/>
                <w:szCs w:val="18"/>
                <w:color w:val="auto"/>
              </w:rPr>
              <w:t>the Depository Trust Company on</w:t>
            </w:r>
          </w:p>
        </w:tc>
        <w:tc>
          <w:tcPr>
            <w:tcW w:w="3520" w:type="dxa"/>
            <w:vAlign w:val="bottom"/>
          </w:tcPr>
          <w:p>
            <w:pPr>
              <w:jc w:val="right"/>
              <w:ind w:right="2850"/>
              <w:spacing w:after="0"/>
              <w:rPr>
                <w:sz w:val="20"/>
                <w:szCs w:val="20"/>
                <w:color w:val="auto"/>
              </w:rPr>
            </w:pPr>
            <w:r>
              <w:rPr>
                <w:rFonts w:ascii="Arial" w:cs="Arial" w:eastAsia="Arial" w:hAnsi="Arial"/>
                <w:sz w:val="18"/>
                <w:szCs w:val="18"/>
                <w:color w:val="auto"/>
              </w:rPr>
              <w:t>, 2014.</w:t>
            </w:r>
          </w:p>
        </w:tc>
      </w:tr>
      <w:tr>
        <w:trPr>
          <w:trHeight w:val="459"/>
        </w:trPr>
        <w:tc>
          <w:tcPr>
            <w:tcW w:w="2960" w:type="dxa"/>
            <w:vAlign w:val="bottom"/>
          </w:tcPr>
          <w:p>
            <w:pPr>
              <w:spacing w:after="0"/>
              <w:rPr>
                <w:sz w:val="20"/>
                <w:szCs w:val="20"/>
                <w:color w:val="auto"/>
              </w:rPr>
            </w:pPr>
            <w:r>
              <w:rPr>
                <w:rFonts w:ascii="Arial" w:cs="Arial" w:eastAsia="Arial" w:hAnsi="Arial"/>
                <w:sz w:val="18"/>
                <w:szCs w:val="18"/>
                <w:color w:val="auto"/>
              </w:rPr>
              <w:t>Depositary</w:t>
            </w:r>
          </w:p>
        </w:tc>
        <w:tc>
          <w:tcPr>
            <w:tcW w:w="4560" w:type="dxa"/>
            <w:vAlign w:val="bottom"/>
          </w:tcPr>
          <w:p>
            <w:pPr>
              <w:ind w:left="1240"/>
              <w:spacing w:after="0"/>
              <w:rPr>
                <w:sz w:val="20"/>
                <w:szCs w:val="20"/>
                <w:color w:val="auto"/>
              </w:rPr>
            </w:pPr>
            <w:r>
              <w:rPr>
                <w:rFonts w:ascii="Arial" w:cs="Arial" w:eastAsia="Arial" w:hAnsi="Arial"/>
                <w:sz w:val="18"/>
                <w:szCs w:val="18"/>
                <w:color w:val="auto"/>
                <w:w w:val="98"/>
              </w:rPr>
              <w:t>Deutsche Bank Trust Company Americas.</w:t>
            </w:r>
          </w:p>
        </w:tc>
        <w:tc>
          <w:tcPr>
            <w:tcW w:w="3520" w:type="dxa"/>
            <w:vAlign w:val="bottom"/>
          </w:tcPr>
          <w:p>
            <w:pPr>
              <w:spacing w:after="0"/>
              <w:rPr>
                <w:sz w:val="24"/>
                <w:szCs w:val="24"/>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ordinary shares that will be outstanding immediately after this offering:</w:t>
      </w:r>
    </w:p>
    <w:p>
      <w:pPr>
        <w:spacing w:after="0" w:line="131"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is based on 332,067,222 ordinary shares outstanding as of the date of this prospectus, assuming (i) the automatic re-designation of</w:t>
      </w:r>
    </w:p>
    <w:p>
      <w:pPr>
        <w:spacing w:after="0" w:line="34" w:lineRule="exact"/>
        <w:rPr>
          <w:rFonts w:ascii="Arial" w:cs="Arial" w:eastAsia="Arial" w:hAnsi="Arial"/>
          <w:sz w:val="17"/>
          <w:szCs w:val="17"/>
          <w:color w:val="auto"/>
        </w:rPr>
      </w:pPr>
    </w:p>
    <w:p>
      <w:pPr>
        <w:ind w:left="1060"/>
        <w:spacing w:after="0" w:line="261" w:lineRule="auto"/>
        <w:rPr>
          <w:rFonts w:ascii="Arial" w:cs="Arial" w:eastAsia="Arial" w:hAnsi="Arial"/>
          <w:sz w:val="17"/>
          <w:szCs w:val="17"/>
          <w:color w:val="auto"/>
        </w:rPr>
      </w:pPr>
      <w:r>
        <w:rPr>
          <w:rFonts w:ascii="Arial" w:cs="Arial" w:eastAsia="Arial" w:hAnsi="Arial"/>
          <w:sz w:val="18"/>
          <w:szCs w:val="18"/>
          <w:color w:val="auto"/>
        </w:rPr>
        <w:t>96,886,370 ordinary shares held by Gallant Future Holdings Limited into Class B ordinary shares on a one-for-one basis immediately prior to the completion of this offering and</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16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19164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140" w:hanging="5"/>
        <w:spacing w:after="0" w:line="264" w:lineRule="auto"/>
        <w:tabs>
          <w:tab w:leader="none" w:pos="13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automatic re-designation of all of our remaining ordinary shares and the automatic conversion and re-designation of all of our outstanding Series A-1, Series A-2, Series A-3, Series B, Series C and Series D preferred shares into 235,180,852 Class A ordinary shares immediately prior to the completion of this offering;</w:t>
      </w:r>
    </w:p>
    <w:p>
      <w:pPr>
        <w:spacing w:after="0" w:line="86" w:lineRule="exact"/>
        <w:rPr>
          <w:rFonts w:ascii="Arial" w:cs="Arial" w:eastAsia="Arial" w:hAnsi="Arial"/>
          <w:sz w:val="18"/>
          <w:szCs w:val="18"/>
          <w:color w:val="auto"/>
        </w:rPr>
      </w:pPr>
    </w:p>
    <w:p>
      <w:pPr>
        <w:ind w:left="1060" w:right="14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32,000,000 Class A ordinary shares in the form of ADSs that we will issue and sell in this offering, assuming the underwriters do not exercise their over-allotment option to purchase additional ADSs;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 IPO shares in the base offering and exclude green shoe;</w:t>
      </w:r>
    </w:p>
    <w:p>
      <w:pPr>
        <w:spacing w:after="0" w:line="130" w:lineRule="exact"/>
        <w:rPr>
          <w:rFonts w:ascii="Arial" w:cs="Arial" w:eastAsia="Arial" w:hAnsi="Arial"/>
          <w:sz w:val="18"/>
          <w:szCs w:val="18"/>
          <w:color w:val="auto"/>
        </w:rPr>
      </w:pPr>
    </w:p>
    <w:p>
      <w:pPr>
        <w:ind w:left="1060" w:right="6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8,888,888 Class A ordinary shares we will issue and sell in the Concurrent Private Placement, assuming an initial offering price of US$13.50 per ADS, the midpoint of the estimated offering price range shown on the front cover page of this prospectus; and</w:t>
      </w:r>
    </w:p>
    <w:p>
      <w:pPr>
        <w:spacing w:after="0" w:line="51" w:lineRule="exact"/>
        <w:rPr>
          <w:rFonts w:ascii="Arial" w:cs="Arial" w:eastAsia="Arial" w:hAnsi="Arial"/>
          <w:sz w:val="17"/>
          <w:szCs w:val="17"/>
          <w:color w:val="auto"/>
        </w:rPr>
      </w:pPr>
    </w:p>
    <w:p>
      <w:pPr>
        <w:ind w:left="1060" w:hanging="323"/>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44,758,220 Class A ordinary shares reserved for future issuances under our 2012 share incentive plan and our 2014 share incentive plan, including 30,727,026 Class A ordinary shares issuable upon exercise of options outstanding as of the date of this prospectus.</w:t>
      </w: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328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332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and Operating Data</w:t>
      </w:r>
    </w:p>
    <w:p>
      <w:pPr>
        <w:spacing w:after="0" w:line="229"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The following summary consolidated income and comprehensive income data for the years ended December 31, 2012 and 2013, summary consolidated balance sheet data as of December 31, 2012 and 2013 and summary consolidated cash flow data for the years ended December 31, 2012 and 2013 have been derived from our audited consolidated financial statements included elsewhere in this prospectus. The following summary consolidated income and comprehensive income data for the nine months ended September 30, 2013 and 2014, summary consolidated balance sheet data as of September 30, 2014 and summary consolidated cash flow data for the nine months ended September 30, 2013 and 2014 have been derived from our unaudited condensed consolidated financial statements included elsewhere in this prospectus and have been prepared on the same basis as our audited consolidated financial statements and include all adjustments, consisting only of normal and recurring adjustments, that we consider necessary for a fair presentation of our financial position and operating results for the periods presented.</w:t>
      </w:r>
    </w:p>
    <w:p>
      <w:pPr>
        <w:spacing w:after="0" w:line="179" w:lineRule="exact"/>
        <w:rPr>
          <w:sz w:val="20"/>
          <w:szCs w:val="20"/>
          <w:color w:val="auto"/>
        </w:rPr>
      </w:pPr>
    </w:p>
    <w:p>
      <w:pPr>
        <w:ind w:left="200" w:right="80" w:firstLine="443"/>
        <w:spacing w:after="0" w:line="279" w:lineRule="auto"/>
        <w:rPr>
          <w:sz w:val="20"/>
          <w:szCs w:val="20"/>
          <w:color w:val="auto"/>
        </w:rPr>
      </w:pPr>
      <w:r>
        <w:rPr>
          <w:rFonts w:ascii="Arial" w:cs="Arial" w:eastAsia="Arial" w:hAnsi="Arial"/>
          <w:sz w:val="17"/>
          <w:szCs w:val="17"/>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18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21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21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4200" w:type="dxa"/>
            <w:vAlign w:val="bottom"/>
            <w:gridSpan w:val="7"/>
          </w:tcPr>
          <w:p>
            <w:pPr>
              <w:jc w:val="right"/>
              <w:ind w:right="295"/>
              <w:spacing w:after="0" w:line="142" w:lineRule="exact"/>
              <w:rPr>
                <w:sz w:val="20"/>
                <w:szCs w:val="20"/>
                <w:color w:val="auto"/>
              </w:rPr>
            </w:pPr>
            <w:r>
              <w:rPr>
                <w:rFonts w:ascii="Arial" w:cs="Arial" w:eastAsia="Arial" w:hAnsi="Arial"/>
                <w:sz w:val="14"/>
                <w:szCs w:val="14"/>
                <w:b w:val="1"/>
                <w:bCs w:val="1"/>
                <w:color w:val="auto"/>
              </w:rPr>
              <w:t>(in US$ thousands, except share and share-related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Summary Data of Consolidated Statements of Operations: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b w:val="1"/>
                <w:bCs w:val="1"/>
                <w:color w:val="auto"/>
              </w:rPr>
              <w:t>Net Revenues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Membership subscription</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2,808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17,853</w:t>
            </w:r>
          </w:p>
        </w:tc>
        <w:tc>
          <w:tcPr>
            <w:tcW w:w="0" w:type="dxa"/>
            <w:vAlign w:val="bottom"/>
          </w:tcPr>
          <w:p>
            <w:pPr>
              <w:spacing w:after="0"/>
              <w:rPr>
                <w:sz w:val="1"/>
                <w:szCs w:val="1"/>
                <w:color w:val="auto"/>
              </w:rPr>
            </w:pPr>
          </w:p>
        </w:tc>
      </w:tr>
      <w:tr>
        <w:trPr>
          <w:trHeight w:val="203"/>
        </w:trPr>
        <w:tc>
          <w:tcPr>
            <w:tcW w:w="6740" w:type="dxa"/>
            <w:vAlign w:val="bottom"/>
          </w:tcPr>
          <w:p>
            <w:pPr>
              <w:ind w:left="340"/>
              <w:spacing w:after="0"/>
              <w:rPr>
                <w:sz w:val="20"/>
                <w:szCs w:val="20"/>
                <w:color w:val="auto"/>
              </w:rPr>
            </w:pPr>
            <w:r>
              <w:rPr>
                <w:rFonts w:ascii="Arial" w:cs="Arial" w:eastAsia="Arial" w:hAnsi="Arial"/>
                <w:sz w:val="17"/>
                <w:szCs w:val="17"/>
                <w:color w:val="auto"/>
              </w:rPr>
              <w:t>Mobile games</w:t>
            </w: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92</w:t>
            </w:r>
          </w:p>
        </w:tc>
        <w:tc>
          <w:tcPr>
            <w:tcW w:w="11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6,891</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services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1,461</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7"/>
                <w:szCs w:val="17"/>
                <w:b w:val="1"/>
                <w:bCs w:val="1"/>
                <w:color w:val="auto"/>
              </w:rPr>
              <w:t>Total net revenues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3,129</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817</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
        </w:trPr>
        <w:tc>
          <w:tcPr>
            <w:tcW w:w="6740" w:type="dxa"/>
            <w:vAlign w:val="bottom"/>
            <w:shd w:val="clear" w:color="auto" w:fill="CCEEFF"/>
          </w:tcPr>
          <w:p>
            <w:pPr>
              <w:spacing w:after="0" w:line="6" w:lineRule="exact"/>
              <w:rPr>
                <w:sz w:val="20"/>
                <w:szCs w:val="20"/>
                <w:color w:val="auto"/>
              </w:rPr>
            </w:pPr>
            <w:r>
              <w:rPr>
                <w:rFonts w:ascii="Arial" w:cs="Arial" w:eastAsia="Arial" w:hAnsi="Arial"/>
                <w:sz w:val="1"/>
                <w:szCs w:val="1"/>
                <w:b w:val="1"/>
                <w:bCs w:val="1"/>
                <w:color w:val="auto"/>
              </w:rPr>
              <w:t>Cost and expenses</w:t>
            </w: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1340"/>
              <w:spacing w:after="0"/>
              <w:rPr>
                <w:sz w:val="20"/>
                <w:szCs w:val="20"/>
                <w:color w:val="auto"/>
              </w:rPr>
            </w:pPr>
            <w:r>
              <w:rPr>
                <w:rFonts w:ascii="Arial" w:cs="Arial" w:eastAsia="Arial" w:hAnsi="Arial"/>
                <w:sz w:val="15"/>
                <w:szCs w:val="15"/>
                <w:b w:val="1"/>
                <w:bCs w:val="1"/>
                <w:color w:val="auto"/>
              </w:rPr>
              <w:t>(1)</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40"/>
              <w:spacing w:after="0"/>
              <w:rPr>
                <w:sz w:val="20"/>
                <w:szCs w:val="20"/>
                <w:color w:val="auto"/>
              </w:rPr>
            </w:pPr>
            <w:r>
              <w:rPr>
                <w:rFonts w:ascii="Arial" w:cs="Arial" w:eastAsia="Arial" w:hAnsi="Arial"/>
                <w:sz w:val="17"/>
                <w:szCs w:val="17"/>
                <w:color w:val="auto"/>
              </w:rPr>
              <w:t>Cost of revenues</w:t>
            </w: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(2,927)</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(1,198)</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(10,391)</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(3,532)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(2,330)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(5,222)</w:t>
            </w:r>
          </w:p>
        </w:tc>
        <w:tc>
          <w:tcPr>
            <w:tcW w:w="0" w:type="dxa"/>
            <w:vAlign w:val="bottom"/>
          </w:tcPr>
          <w:p>
            <w:pPr>
              <w:spacing w:after="0"/>
              <w:rPr>
                <w:sz w:val="1"/>
                <w:szCs w:val="1"/>
                <w:color w:val="auto"/>
              </w:rPr>
            </w:pPr>
          </w:p>
        </w:tc>
      </w:tr>
      <w:tr>
        <w:trPr>
          <w:trHeight w:val="203"/>
        </w:trPr>
        <w:tc>
          <w:tcPr>
            <w:tcW w:w="6740" w:type="dxa"/>
            <w:vAlign w:val="bottom"/>
          </w:tcPr>
          <w:p>
            <w:pPr>
              <w:ind w:left="340"/>
              <w:spacing w:after="0"/>
              <w:rPr>
                <w:sz w:val="20"/>
                <w:szCs w:val="20"/>
                <w:color w:val="auto"/>
              </w:rPr>
            </w:pPr>
            <w:r>
              <w:rPr>
                <w:rFonts w:ascii="Arial" w:cs="Arial" w:eastAsia="Arial" w:hAnsi="Arial"/>
                <w:sz w:val="17"/>
                <w:szCs w:val="17"/>
                <w:color w:val="auto"/>
              </w:rPr>
              <w:t>Sales and marketing expenses</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(419)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(3,018)</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(1,521)</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(26,214)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(1,969)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(7,559)</w:t>
            </w:r>
          </w:p>
        </w:tc>
        <w:tc>
          <w:tcPr>
            <w:tcW w:w="0" w:type="dxa"/>
            <w:vAlign w:val="bottom"/>
          </w:tcPr>
          <w:p>
            <w:pPr>
              <w:spacing w:after="0"/>
              <w:rPr>
                <w:sz w:val="1"/>
                <w:szCs w:val="1"/>
                <w:color w:val="auto"/>
              </w:rPr>
            </w:pPr>
          </w:p>
        </w:tc>
      </w:tr>
      <w:tr>
        <w:trPr>
          <w:trHeight w:val="217"/>
        </w:trPr>
        <w:tc>
          <w:tcPr>
            <w:tcW w:w="6740" w:type="dxa"/>
            <w:vAlign w:val="bottom"/>
          </w:tcPr>
          <w:p>
            <w:pPr>
              <w:spacing w:after="0"/>
              <w:rPr>
                <w:sz w:val="20"/>
                <w:szCs w:val="20"/>
                <w:color w:val="auto"/>
              </w:rPr>
            </w:pPr>
            <w:r>
              <w:rPr>
                <w:rFonts w:ascii="Arial" w:cs="Arial" w:eastAsia="Arial" w:hAnsi="Arial"/>
                <w:sz w:val="17"/>
                <w:szCs w:val="17"/>
                <w:b w:val="1"/>
                <w:bCs w:val="1"/>
                <w:color w:val="auto"/>
              </w:rPr>
              <w:t>Total cost and expenses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(3,842)</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(12,487)</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(7,103)</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(3,842)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(9,358)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(6,286)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(23,181)</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Interest income</w:t>
            </w: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32</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27</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(3,839)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(9,326)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(6,259)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(22,881)</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Deemed dividend to preferred shareholders</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(3,093)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(8,120)</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(5,640)</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(49,673)</w:t>
            </w:r>
          </w:p>
        </w:tc>
        <w:tc>
          <w:tcPr>
            <w:tcW w:w="0" w:type="dxa"/>
            <w:vAlign w:val="bottom"/>
          </w:tcPr>
          <w:p>
            <w:pPr>
              <w:spacing w:after="0"/>
              <w:rPr>
                <w:sz w:val="1"/>
                <w:szCs w:val="1"/>
                <w:color w:val="auto"/>
              </w:rPr>
            </w:pPr>
          </w:p>
        </w:tc>
      </w:tr>
      <w:tr>
        <w:trPr>
          <w:trHeight w:val="115"/>
        </w:trPr>
        <w:tc>
          <w:tcPr>
            <w:tcW w:w="67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attributable to ordinary shareholders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(6,932)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(17,446)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(11,899)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(72,554)</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7"/>
                <w:szCs w:val="17"/>
                <w:color w:val="auto"/>
              </w:rPr>
              <w:t xml:space="preserve">Net loss per share attributable to ordinary shareholders, as restated </w:t>
            </w:r>
            <w:r>
              <w:rPr>
                <w:rFonts w:ascii="Arial" w:cs="Arial" w:eastAsia="Arial" w:hAnsi="Arial"/>
                <w:sz w:val="14"/>
                <w:szCs w:val="14"/>
                <w:color w:val="auto"/>
              </w:rPr>
              <w:t>(*)</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7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(0.93)</w:t>
            </w: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7"/>
                <w:szCs w:val="17"/>
                <w:color w:val="auto"/>
              </w:rPr>
              <w:t>Diluted</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(0.12)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(0.26)</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(0.19)</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(0.93)</w:t>
            </w:r>
          </w:p>
        </w:tc>
        <w:tc>
          <w:tcPr>
            <w:tcW w:w="0" w:type="dxa"/>
            <w:vAlign w:val="bottom"/>
          </w:tcPr>
          <w:p>
            <w:pPr>
              <w:spacing w:after="0"/>
              <w:rPr>
                <w:sz w:val="1"/>
                <w:szCs w:val="1"/>
                <w:color w:val="auto"/>
              </w:rPr>
            </w:pPr>
          </w:p>
        </w:tc>
      </w:tr>
      <w:tr>
        <w:trPr>
          <w:trHeight w:val="94"/>
        </w:trPr>
        <w:tc>
          <w:tcPr>
            <w:tcW w:w="6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used in computing net loss per ordinary share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40"/>
              <w:spacing w:after="0"/>
              <w:rPr>
                <w:sz w:val="20"/>
                <w:szCs w:val="20"/>
                <w:color w:val="auto"/>
              </w:rPr>
            </w:pPr>
            <w:r>
              <w:rPr>
                <w:rFonts w:ascii="Arial" w:cs="Arial" w:eastAsia="Arial" w:hAnsi="Arial"/>
                <w:sz w:val="17"/>
                <w:szCs w:val="17"/>
                <w:color w:val="auto"/>
              </w:rPr>
              <w:t>Basic</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60,103,654</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67,190,411</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62,562,500</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77,749,511</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60,103,654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67,190,411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62,562,500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77,749,511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20" w:hanging="323"/>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Net loss per ordinary share has been restated for each period to allocate all net losses to the ordinary shares, as the restricted shares do not contain a contractual obligation to fund losses.</w:t>
      </w: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06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450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 w:hanging="323"/>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Share-based compensation expenses were allocated in cost and expenses as follows: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80" w:type="dxa"/>
            <w:vAlign w:val="bottom"/>
            <w:gridSpan w:val="4"/>
            <w:vMerge w:val="restart"/>
          </w:tcPr>
          <w:p>
            <w:pPr>
              <w:jc w:val="right"/>
              <w:ind w:right="1160"/>
              <w:spacing w:after="0"/>
              <w:rPr>
                <w:sz w:val="20"/>
                <w:szCs w:val="20"/>
                <w:color w:val="auto"/>
              </w:rPr>
            </w:pPr>
            <w:r>
              <w:rPr>
                <w:rFonts w:ascii="Arial" w:cs="Arial" w:eastAsia="Arial" w:hAnsi="Arial"/>
                <w:sz w:val="14"/>
                <w:szCs w:val="14"/>
                <w:b w:val="1"/>
                <w:bCs w:val="1"/>
                <w:color w:val="auto"/>
              </w:rPr>
              <w:t>Year Ended December 31,</w:t>
            </w:r>
          </w:p>
        </w:tc>
        <w:tc>
          <w:tcPr>
            <w:tcW w:w="16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30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(in US$ thousands)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58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34</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6340" w:type="dxa"/>
            <w:vAlign w:val="bottom"/>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158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39</w:t>
            </w:r>
          </w:p>
        </w:tc>
        <w:tc>
          <w:tcPr>
            <w:tcW w:w="150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269</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169</w:t>
            </w:r>
          </w:p>
        </w:tc>
        <w:tc>
          <w:tcPr>
            <w:tcW w:w="1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 expenses</w:t>
            </w:r>
          </w:p>
        </w:tc>
        <w:tc>
          <w:tcPr>
            <w:tcW w:w="158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11</w:t>
            </w:r>
          </w:p>
        </w:tc>
        <w:tc>
          <w:tcPr>
            <w:tcW w:w="15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128</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634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158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542</w:t>
            </w:r>
          </w:p>
        </w:tc>
        <w:tc>
          <w:tcPr>
            <w:tcW w:w="150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532</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314</w:t>
            </w:r>
          </w:p>
        </w:tc>
        <w:tc>
          <w:tcPr>
            <w:tcW w:w="1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3,532</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58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592</w:t>
            </w:r>
          </w:p>
        </w:tc>
        <w:tc>
          <w:tcPr>
            <w:tcW w:w="15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963</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540</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our summary consolidated balance sheet data as of December 31, 2012, 2013 and September 30, 2014.</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w w:val="95"/>
              </w:rPr>
              <w:t>As of September 30, 2014</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Actual</w:t>
            </w:r>
          </w:p>
        </w:tc>
        <w:tc>
          <w:tcPr>
            <w:tcW w:w="1660" w:type="dxa"/>
            <w:vAlign w:val="bottom"/>
            <w:tcBorders>
              <w:top w:val="single" w:sz="8" w:color="auto"/>
            </w:tcBorders>
          </w:tcPr>
          <w:p>
            <w:pPr>
              <w:jc w:val="right"/>
              <w:ind w:right="477"/>
              <w:spacing w:after="0" w:line="119" w:lineRule="exact"/>
              <w:rPr>
                <w:sz w:val="20"/>
                <w:szCs w:val="20"/>
                <w:color w:val="auto"/>
              </w:rPr>
            </w:pPr>
            <w:r>
              <w:rPr>
                <w:rFonts w:ascii="Arial" w:cs="Arial" w:eastAsia="Arial" w:hAnsi="Arial"/>
                <w:sz w:val="13"/>
                <w:szCs w:val="13"/>
                <w:b w:val="1"/>
                <w:bCs w:val="1"/>
                <w:color w:val="auto"/>
              </w:rPr>
              <w:t>Unaudited</w:t>
            </w:r>
          </w:p>
        </w:tc>
        <w:tc>
          <w:tcPr>
            <w:tcW w:w="86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60" w:type="dxa"/>
            <w:vAlign w:val="bottom"/>
          </w:tcPr>
          <w:p>
            <w:pPr>
              <w:jc w:val="right"/>
              <w:ind w:right="397"/>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3"/>
          </w:tcPr>
          <w:p>
            <w:pPr>
              <w:jc w:val="right"/>
              <w:ind w:right="1237"/>
              <w:spacing w:after="0" w:line="142" w:lineRule="exact"/>
              <w:rPr>
                <w:sz w:val="20"/>
                <w:szCs w:val="20"/>
                <w:color w:val="auto"/>
              </w:rPr>
            </w:pPr>
            <w:r>
              <w:rPr>
                <w:rFonts w:ascii="Arial" w:cs="Arial" w:eastAsia="Arial" w:hAnsi="Arial"/>
                <w:sz w:val="14"/>
                <w:szCs w:val="14"/>
                <w:b w:val="1"/>
                <w:bCs w:val="1"/>
                <w:color w:val="auto"/>
              </w:rPr>
              <w:t>(in US$ thousands)</w:t>
            </w: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5"/>
              <w:spacing w:after="0"/>
              <w:rPr>
                <w:sz w:val="20"/>
                <w:szCs w:val="20"/>
                <w:color w:val="auto"/>
              </w:rPr>
            </w:pPr>
            <w:r>
              <w:rPr>
                <w:rFonts w:ascii="Arial" w:cs="Arial" w:eastAsia="Arial" w:hAnsi="Arial"/>
                <w:sz w:val="18"/>
                <w:szCs w:val="18"/>
                <w:color w:val="auto"/>
                <w:w w:val="98"/>
              </w:rPr>
              <w:t>18,539</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55,374</w:t>
            </w: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162,206</w:t>
            </w:r>
          </w:p>
        </w:tc>
        <w:tc>
          <w:tcPr>
            <w:tcW w:w="1660" w:type="dxa"/>
            <w:vAlign w:val="bottom"/>
          </w:tcPr>
          <w:p>
            <w:pPr>
              <w:jc w:val="right"/>
              <w:ind w:right="397"/>
              <w:spacing w:after="0"/>
              <w:rPr>
                <w:sz w:val="20"/>
                <w:szCs w:val="20"/>
                <w:color w:val="auto"/>
              </w:rPr>
            </w:pPr>
            <w:r>
              <w:rPr>
                <w:rFonts w:ascii="Arial" w:cs="Arial" w:eastAsia="Arial" w:hAnsi="Arial"/>
                <w:sz w:val="18"/>
                <w:szCs w:val="18"/>
                <w:color w:val="auto"/>
              </w:rPr>
              <w:t>162,206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418,729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8"/>
              </w:rPr>
              <w:t>20,784</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63,025</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184,867</w:t>
            </w:r>
          </w:p>
        </w:tc>
        <w:tc>
          <w:tcPr>
            <w:tcW w:w="16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184,867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Pr>
          <w:p>
            <w:pPr>
              <w:jc w:val="right"/>
              <w:ind w:right="235"/>
              <w:spacing w:after="0"/>
              <w:rPr>
                <w:sz w:val="20"/>
                <w:szCs w:val="20"/>
                <w:color w:val="auto"/>
              </w:rPr>
            </w:pPr>
            <w:r>
              <w:rPr>
                <w:rFonts w:ascii="Arial" w:cs="Arial" w:eastAsia="Arial" w:hAnsi="Arial"/>
                <w:sz w:val="18"/>
                <w:szCs w:val="18"/>
                <w:color w:val="auto"/>
              </w:rPr>
              <w:t>143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5,566</w:t>
            </w: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30,135</w:t>
            </w:r>
          </w:p>
        </w:tc>
        <w:tc>
          <w:tcPr>
            <w:tcW w:w="1660" w:type="dxa"/>
            <w:vAlign w:val="bottom"/>
          </w:tcPr>
          <w:p>
            <w:pPr>
              <w:jc w:val="right"/>
              <w:ind w:right="397"/>
              <w:spacing w:after="0"/>
              <w:rPr>
                <w:sz w:val="20"/>
                <w:szCs w:val="20"/>
                <w:color w:val="auto"/>
              </w:rPr>
            </w:pPr>
            <w:r>
              <w:rPr>
                <w:rFonts w:ascii="Arial" w:cs="Arial" w:eastAsia="Arial" w:hAnsi="Arial"/>
                <w:sz w:val="18"/>
                <w:szCs w:val="18"/>
                <w:color w:val="auto"/>
              </w:rPr>
              <w:t>30,135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30,135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8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8"/>
              </w:rPr>
              <w:t>27,199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80,319</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310,714</w:t>
            </w:r>
          </w:p>
        </w:tc>
        <w:tc>
          <w:tcPr>
            <w:tcW w:w="166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Total equity (deficit)</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(6,558)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(22,860)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(155,982)</w:t>
            </w:r>
          </w:p>
        </w:tc>
        <w:tc>
          <w:tcPr>
            <w:tcW w:w="1660" w:type="dxa"/>
            <w:vAlign w:val="bottom"/>
          </w:tcPr>
          <w:p>
            <w:pPr>
              <w:jc w:val="right"/>
              <w:ind w:right="397"/>
              <w:spacing w:after="0"/>
              <w:rPr>
                <w:sz w:val="20"/>
                <w:szCs w:val="20"/>
                <w:color w:val="auto"/>
              </w:rPr>
            </w:pPr>
            <w:r>
              <w:rPr>
                <w:rFonts w:ascii="Arial" w:cs="Arial" w:eastAsia="Arial" w:hAnsi="Arial"/>
                <w:sz w:val="18"/>
                <w:szCs w:val="18"/>
                <w:color w:val="auto"/>
              </w:rPr>
              <w:t>154,732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411,255</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23"/>
        <w:spacing w:after="0" w:line="221" w:lineRule="auto"/>
        <w:tabs>
          <w:tab w:leader="none" w:pos="520" w:val="left"/>
        </w:tabs>
        <w:numPr>
          <w:ilvl w:val="0"/>
          <w:numId w:val="13"/>
        </w:numPr>
        <w:rPr>
          <w:rFonts w:ascii="Arial" w:cs="Arial" w:eastAsia="Arial" w:hAnsi="Arial"/>
          <w:sz w:val="12"/>
          <w:szCs w:val="12"/>
          <w:color w:val="auto"/>
        </w:rPr>
      </w:pPr>
      <w:r>
        <w:rPr>
          <w:rFonts w:ascii="Arial" w:cs="Arial" w:eastAsia="Arial" w:hAnsi="Arial"/>
          <w:sz w:val="14"/>
          <w:szCs w:val="14"/>
          <w:color w:val="auto"/>
        </w:rPr>
        <w:t>The consolidated balance sheet data as of September 30, 2014 are adjusted on an unaudited pro forma basis to give effect to (i) the automatic re-designation of 96,886,370 ordinary shares held by Gallant Future Holdings Limited into Class B ordinary shares on a one-for-one basis immediately prior to the completion of this offering and (ii) the automatic re-designation of all of our remaining ordinary shares and the automatic conversion and re-designation of all of our outstanding Series A-1, Series A-2, Series A-3, Series B, Series C and Series D preferred shares into 235,180,852 Class A ordinary shares immediately prior to the completion of this offering.</w:t>
      </w:r>
    </w:p>
    <w:p>
      <w:pPr>
        <w:spacing w:after="0" w:line="1" w:lineRule="exact"/>
        <w:rPr>
          <w:rFonts w:ascii="Arial" w:cs="Arial" w:eastAsia="Arial" w:hAnsi="Arial"/>
          <w:sz w:val="12"/>
          <w:szCs w:val="12"/>
          <w:color w:val="auto"/>
        </w:rPr>
      </w:pPr>
    </w:p>
    <w:p>
      <w:pPr>
        <w:ind w:left="520" w:right="20" w:hanging="323"/>
        <w:spacing w:after="0" w:line="243" w:lineRule="auto"/>
        <w:tabs>
          <w:tab w:leader="none" w:pos="520" w:val="left"/>
        </w:tabs>
        <w:numPr>
          <w:ilvl w:val="0"/>
          <w:numId w:val="13"/>
        </w:numPr>
        <w:rPr>
          <w:rFonts w:ascii="Arial" w:cs="Arial" w:eastAsia="Arial" w:hAnsi="Arial"/>
          <w:sz w:val="11"/>
          <w:szCs w:val="11"/>
          <w:color w:val="auto"/>
        </w:rPr>
      </w:pPr>
      <w:r>
        <w:rPr>
          <w:rFonts w:ascii="Arial" w:cs="Arial" w:eastAsia="Arial" w:hAnsi="Arial"/>
          <w:sz w:val="13"/>
          <w:szCs w:val="13"/>
          <w:color w:val="auto"/>
        </w:rPr>
        <w:t>The consolidated balance sheet data as of September 30, 2014 are adjusted on an unaudited pro forma as adjusted basis to give effect to (i) the automatic re-designation of 96,886,370 ordinary shares held by Gallant Future Holdings Limited into Class B ordinary shares on a one-for-one basis immediately prior to the completion of this offering, (ii) the automatic re-designation of all of our remaining ordinary shares and the automatic conversion and re-designation of all of our outstanding Series A-1, Series A-2, Series A-3, Series B, Series C and Series D preferred shares into 235,180,852 Class A ordinary shares immediately prior to the completion of this offering, (iii) the sale of 32,000,000 Class A ordinary shares in the form of ADSs by us in this offering at an assumed initial public offering price of US$13.50 per ADS, the 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 and (iv) the issuance and sale of 8,888,888 Class A ordinary shares through the Concurrent Private Placement, calculated based on the midpoint of the estimated offering price range shown on the front cover page of this prospectus, with net proceeds of US$60.0 million to us.</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20" w:firstLine="443"/>
        <w:spacing w:after="0" w:line="277" w:lineRule="auto"/>
        <w:rPr>
          <w:sz w:val="20"/>
          <w:szCs w:val="20"/>
          <w:color w:val="auto"/>
        </w:rPr>
      </w:pPr>
      <w:r>
        <w:rPr>
          <w:rFonts w:ascii="Arial" w:cs="Arial" w:eastAsia="Arial" w:hAnsi="Arial"/>
          <w:sz w:val="18"/>
          <w:szCs w:val="18"/>
          <w:color w:val="auto"/>
        </w:rPr>
        <w:t>The following table presents our summary consolidated cash flow data for the years ended December 31, 2012 and 2013, as well as the nine months ended September 30, 2013 and 2014.</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900" w:type="dxa"/>
            <w:vAlign w:val="bottom"/>
            <w:gridSpan w:val="5"/>
          </w:tcPr>
          <w:p>
            <w:pPr>
              <w:jc w:val="right"/>
              <w:ind w:right="948"/>
              <w:spacing w:after="0"/>
              <w:rPr>
                <w:sz w:val="20"/>
                <w:szCs w:val="20"/>
                <w:color w:val="auto"/>
              </w:rPr>
            </w:pPr>
            <w:r>
              <w:rPr>
                <w:rFonts w:ascii="Arial" w:cs="Arial" w:eastAsia="Arial" w:hAnsi="Arial"/>
                <w:sz w:val="14"/>
                <w:szCs w:val="14"/>
                <w:b w:val="1"/>
                <w:bCs w:val="1"/>
                <w:color w:val="auto"/>
              </w:rPr>
              <w:t>Year Ended December 31,</w:t>
            </w:r>
          </w:p>
        </w:tc>
        <w:tc>
          <w:tcPr>
            <w:tcW w:w="28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3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0" w:type="dxa"/>
            <w:vAlign w:val="bottom"/>
            <w:gridSpan w:val="3"/>
          </w:tcPr>
          <w:p>
            <w:pPr>
              <w:jc w:val="right"/>
              <w:ind w:right="1160"/>
              <w:spacing w:after="0" w:line="142" w:lineRule="exact"/>
              <w:rPr>
                <w:sz w:val="20"/>
                <w:szCs w:val="20"/>
                <w:color w:val="auto"/>
              </w:rPr>
            </w:pPr>
            <w:r>
              <w:rPr>
                <w:rFonts w:ascii="Arial" w:cs="Arial" w:eastAsia="Arial" w:hAnsi="Arial"/>
                <w:sz w:val="14"/>
                <w:szCs w:val="14"/>
                <w:b w:val="1"/>
                <w:bCs w:val="1"/>
                <w:color w:val="auto"/>
                <w:w w:val="95"/>
              </w:rPr>
              <w:t>(in US$ thousands)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Cash Flow Data:</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(4,104)</w:t>
            </w:r>
          </w:p>
        </w:tc>
        <w:tc>
          <w:tcPr>
            <w:tcW w:w="1440" w:type="dxa"/>
            <w:vAlign w:val="bottom"/>
            <w:gridSpan w:val="2"/>
          </w:tcPr>
          <w:p>
            <w:pPr>
              <w:jc w:val="right"/>
              <w:ind w:right="588"/>
              <w:spacing w:after="0"/>
              <w:rPr>
                <w:sz w:val="20"/>
                <w:szCs w:val="20"/>
                <w:color w:val="auto"/>
              </w:rPr>
            </w:pPr>
            <w:r>
              <w:rPr>
                <w:rFonts w:ascii="Arial" w:cs="Arial" w:eastAsia="Arial" w:hAnsi="Arial"/>
                <w:sz w:val="18"/>
                <w:szCs w:val="18"/>
                <w:color w:val="auto"/>
              </w:rPr>
              <w:t>(5,135)</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(4,813)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(1,992)</w:t>
            </w:r>
          </w:p>
        </w:tc>
        <w:tc>
          <w:tcPr>
            <w:tcW w:w="14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(3,181)</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(1,888)</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(6,955)</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23,551</w:t>
            </w:r>
          </w:p>
        </w:tc>
        <w:tc>
          <w:tcPr>
            <w:tcW w:w="740" w:type="dxa"/>
            <w:vAlign w:val="bottom"/>
          </w:tcPr>
          <w:p>
            <w:pPr>
              <w:spacing w:after="0"/>
              <w:rPr>
                <w:sz w:val="18"/>
                <w:szCs w:val="18"/>
                <w:color w:val="auto"/>
              </w:rPr>
            </w:pP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45,000</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122,441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(34)</w:t>
            </w: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151</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Net (decrease by) increase in cash and cash equivalents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17,421</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3"/>
              </w:rPr>
              <w:t>36,835</w:t>
            </w:r>
          </w:p>
        </w:tc>
        <w:tc>
          <w:tcPr>
            <w:tcW w:w="7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(6,541)</w:t>
            </w:r>
          </w:p>
        </w:tc>
        <w:tc>
          <w:tcPr>
            <w:tcW w:w="7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106,832</w:t>
            </w:r>
          </w:p>
        </w:tc>
        <w:tc>
          <w:tcPr>
            <w:tcW w:w="12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w:t>
            </w:r>
          </w:p>
        </w:tc>
        <w:tc>
          <w:tcPr>
            <w:tcW w:w="7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18,539</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18,539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55,374</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3"/>
              </w:rPr>
              <w:t>55,374</w:t>
            </w:r>
          </w:p>
        </w:tc>
        <w:tc>
          <w:tcPr>
            <w:tcW w:w="7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11,998</w:t>
            </w:r>
          </w:p>
        </w:tc>
        <w:tc>
          <w:tcPr>
            <w:tcW w:w="7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162,206</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Operating Data</w:t>
      </w:r>
    </w:p>
    <w:p>
      <w:pPr>
        <w:spacing w:after="0" w:line="121" w:lineRule="exact"/>
        <w:rPr>
          <w:sz w:val="20"/>
          <w:szCs w:val="20"/>
          <w:color w:val="auto"/>
        </w:rPr>
      </w:pPr>
    </w:p>
    <w:p>
      <w:pPr>
        <w:ind w:left="200" w:right="100" w:firstLine="443"/>
        <w:spacing w:after="0" w:line="273" w:lineRule="auto"/>
        <w:rPr>
          <w:sz w:val="20"/>
          <w:szCs w:val="20"/>
          <w:color w:val="auto"/>
        </w:rPr>
      </w:pPr>
      <w:r>
        <w:rPr>
          <w:rFonts w:ascii="Arial" w:cs="Arial" w:eastAsia="Arial" w:hAnsi="Arial"/>
          <w:sz w:val="17"/>
          <w:szCs w:val="17"/>
          <w:color w:val="auto"/>
        </w:rPr>
        <w:t>The following charts show our MAUs and average DAUs (as defined below) for each of the months indicated. “MAUs” refers to monthly active users. Prior to June 2014, we defined MAUs during a given calendar month as Momo users who were DAUs for at least one day during the 28-day period counting back from the last day of such calendar month. Beginning from June 2014, we define MAUs during a given calendar month as Momo users who were DAUs for at least one day during the 30-day period counting back from the last day of such calendar month. “DAUs” refers to daily active users, which are Momo users who accessed our platform through Momo mobile application and utilized any of the functions on our platform on a given day. Average DAUs for a particular period is the average of the DAUs on each day during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36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2936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 xml:space="preserve">The following charts show the total number of our members as of the end of each of the quarters indicated and the number of </w:t>
      </w:r>
      <w:r>
        <w:rPr>
          <w:rFonts w:ascii="Arial" w:cs="Arial" w:eastAsia="Arial" w:hAnsi="Arial"/>
          <w:sz w:val="18"/>
          <w:szCs w:val="18"/>
          <w:i w:val="1"/>
          <w:iCs w:val="1"/>
          <w:color w:val="auto"/>
        </w:rPr>
        <w:t>Groups</w:t>
      </w:r>
      <w:r>
        <w:rPr>
          <w:rFonts w:ascii="Arial" w:cs="Arial" w:eastAsia="Arial" w:hAnsi="Arial"/>
          <w:sz w:val="18"/>
          <w:szCs w:val="18"/>
          <w:color w:val="auto"/>
        </w:rPr>
        <w:t xml:space="preserve"> as of the end of each month indicated. Members are Momo users who have paid the subscription fees for our membership services. The number of members as of a given date refers to the number of users whose membership subscriptions are in their service period as of such date. </w:t>
      </w:r>
      <w:r>
        <w:rPr>
          <w:rFonts w:ascii="Arial" w:cs="Arial" w:eastAsia="Arial" w:hAnsi="Arial"/>
          <w:sz w:val="18"/>
          <w:szCs w:val="18"/>
          <w:i w:val="1"/>
          <w:iCs w:val="1"/>
          <w:color w:val="auto"/>
        </w:rPr>
        <w:t>Groups</w:t>
      </w:r>
      <w:r>
        <w:rPr>
          <w:rFonts w:ascii="Arial" w:cs="Arial" w:eastAsia="Arial" w:hAnsi="Arial"/>
          <w:sz w:val="18"/>
          <w:szCs w:val="18"/>
          <w:color w:val="auto"/>
        </w:rPr>
        <w:t xml:space="preserve"> are location-based virtual communities created by our users that center around certain points of interest, including residential complexes, educational institutions and commercial buildings, and focus on specific topics of interest. The number of </w:t>
      </w:r>
      <w:r>
        <w:rPr>
          <w:rFonts w:ascii="Arial" w:cs="Arial" w:eastAsia="Arial" w:hAnsi="Arial"/>
          <w:sz w:val="18"/>
          <w:szCs w:val="18"/>
          <w:i w:val="1"/>
          <w:iCs w:val="1"/>
          <w:color w:val="auto"/>
        </w:rPr>
        <w:t>Groups</w:t>
      </w:r>
      <w:r>
        <w:rPr>
          <w:rFonts w:ascii="Arial" w:cs="Arial" w:eastAsia="Arial" w:hAnsi="Arial"/>
          <w:sz w:val="18"/>
          <w:szCs w:val="18"/>
          <w:color w:val="auto"/>
        </w:rPr>
        <w:t xml:space="preserve"> as of a given date refers to the cumulative number of </w:t>
      </w:r>
      <w:r>
        <w:rPr>
          <w:rFonts w:ascii="Arial" w:cs="Arial" w:eastAsia="Arial" w:hAnsi="Arial"/>
          <w:sz w:val="18"/>
          <w:szCs w:val="18"/>
          <w:i w:val="1"/>
          <w:iCs w:val="1"/>
          <w:color w:val="auto"/>
        </w:rPr>
        <w:t>Groups</w:t>
      </w:r>
      <w:r>
        <w:rPr>
          <w:rFonts w:ascii="Arial" w:cs="Arial" w:eastAsia="Arial" w:hAnsi="Arial"/>
          <w:sz w:val="18"/>
          <w:szCs w:val="18"/>
          <w:color w:val="auto"/>
        </w:rPr>
        <w:t xml:space="preserve"> created by our users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If we fail to retain our existing users, further grow our user base, or if user engagement on our platform declines, our business and operating results may be materially and adversely affected.</w:t>
      </w:r>
    </w:p>
    <w:p>
      <w:pPr>
        <w:spacing w:after="0" w:line="62"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size of our user base and the level of our user engagement are critical to our success. We had 180.3 million registered users as of September 30, 2014. “Registered users” as of a given day refers to the aggregate number of Momo registered user accounts from the launch of Momo through such day. Each Momo registered user account is usually linked to a mobile phone number. A single person with multiple mobile phone numbers may link to multiple Momo registered user accounts and, in such case, would be counted as multiple registered users. Our MAUs and average DAUs reached 60.2 million and 25.5 million in September 2014, respectively, representing an increase of 112.8% and 140.6% from September 2013.</w:t>
      </w:r>
    </w:p>
    <w:p>
      <w:pPr>
        <w:spacing w:after="0" w:line="1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Growing our user base and increasing the overall level of user engagement on our social networking platform are critical to our business. If our user growth rate slows down, our success will become increasingly dependent on our ability to retain existing users and enhance user engagement on our platform. If our Momo mobile application is no longer one of the social networking tools that people frequently use, or if people do not perceive our services to be interesting or useful, we may not be able to attract users or increase the frequency or depth of their engagement. A number of user-oriented instant communication products that achieved early popularity have since seen the size of their user base or level of user engagement decline, in some cases precipitously. There is no guarantee that we will not experience a similar erosion of our user base or user engagement level in the future. A number of factors could negatively affect user retention, growth and engagement, including if:</w:t>
      </w:r>
    </w:p>
    <w:p>
      <w:pPr>
        <w:spacing w:after="0" w:line="83"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unable to attract new users to our platform or retain existing ones;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introduce new and improved services, or if we introduce services that are not favorably received by users;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unable to combat spam on or inappropriate or abusive use of our platform, which may lead to negative public perception of us and our brand;</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services in a rapid and reliable manner or otherwise adversely affect the user experience;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suffer from negative publicity, fail to maintain our brand or if our reputation is damaged;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address user concerns related to privacy and communication, safety, security or other factors; and</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adverse changes in our services that are mandated by, or that we elect to make to address, legislation, regulations or government policies.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we are unable to grow our user base or enhance user engagement, our platform will become less attractive to our users, customers and platform partners, which would have a material and adverse impact on our business and operating results.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We are in the early stages of monetization and cannot guarantee that the monetization strategies we have adopted will be successfully implemented or generate sustainable revenues and profit.</w:t>
      </w:r>
    </w:p>
    <w:p>
      <w:pPr>
        <w:spacing w:after="0" w:line="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monetization model is new and evolving. We began to generate revenues in the second half of 2013 through membership subscriptions, mobile games and other services, which accounted for approximately 68.1%, 26.3% and 5.6%, respectively, of our net revenues in the nine months ended September 30, 2014. We generate membership subscription revenues from users who purchase membership packages for additional functionalities and privileges in our mobile application. For mobile games, we cooperate with third-party game developers to provide their games on our platform and share revenues generated by in-game purchases of virtual items with such developers. Our other services include paid emoticons and mobile marketing services. If our strategic initiatives do not enhance our ability to monetize our existing services or enable us to develop new approaches to monetization, we may not be able to maintain or increase our revenues and profits or recover any associated costs. In addition, we may in the future introduce new services to further diversify our revenue streams, including services with which we have little or no prior development or operating experience. If these new or enhanced services fail to engage users, customers or platform partners, we may fail to attract or retain users or to generate sufficient revenues to justify our investments, and our business and operating results may suffer as a result.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limited operating history in a dynamic market, which makes it difficult to evaluate our future prospects.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market for social networking platforms is relatively new, highly dynamic and may not develop as expected. Our users, customers and platform partners may not fully understand the value of our services, and potential new users, customers and platform partners may have difficulty distinguishing our services from those of our competitors. Convincing potential users, customers and platform partners of the value of our services is critical to the growth of our user base and the success of our business. See also “Industry—Mobile Social Networking in China.”</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launched our Momo mobile application in August 2011, and the relatively short operating history makes it difficult to assess our future prospects or forecast our future results. You should consider our business and prospects in light of the risks and challenges we encounter or may encounter in this developing and rapidly evolving market. These risks and challenges include our ability to, among other things:</w:t>
      </w:r>
    </w:p>
    <w:p>
      <w:pPr>
        <w:spacing w:after="0" w:line="87" w:lineRule="exact"/>
        <w:rPr>
          <w:sz w:val="20"/>
          <w:szCs w:val="20"/>
          <w:color w:val="auto"/>
        </w:rPr>
      </w:pPr>
    </w:p>
    <w:p>
      <w:pPr>
        <w:ind w:left="900" w:right="4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number of members and other paying users, which include users who make purchases of emoticons or purchase virtual items in mobile games offered on our platform, as well as the level of user engagement;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deploy diversified and distinguishable features and services for our users and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convince customers of the benefits of our marketing services compared to alternative forms of marketing;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or implement strategic initiatives to monetize our platform;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 reliable, scalable, secure, high-performance technology infrastructure that can efficiently handle increased usage;</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compete with other companies, some of which have substantially greater resources and market power than us, that are currently in, or may in the future enter, our industry, or duplicate the features of our services;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motivate talented employees;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defend ourselves against litigation, regulatory, intellectual property, privacy or other claims.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we fail to educate potential users, customers and platform partners about the value of our services, if the market for our platform does not develop as we expect or if we fail to address the needs of this dynamic market, our business will be harmed. Failure to adequately address these or other risks and challenges could harm our business and cause our operating results to suffer.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incurred significant net losses in the past, and we may not be able to achieve or subsequently maintain profitability.</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Since our inception, we have incurred significant net losses. As of September 30, 2014, we had an accumulated deficit of US$97.3 million. We believe that our future revenue growth will depend on, among other factors, the popularity of social networking applications, as well as our ability to attract new users, increase user engagement, effectively design and implement monetization strategies, develop new services and compete effectively and successfully. In addition, our ability to achieve and sustain profitability is affected by various factors, many of which are beyond our control, such as the continuous development of social networking, mobile games and mobile marketing services in China.</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continue to incur losses in the near future due to our continued investments in technologies, research and development and our continued sales and marketing initiatives. Changes in the macroeconomic and regulatory environment or competitive dynamics and our inability to respond to these changes in a timely and effective manner may also impact our profitability. Accordingly, you should not rely on the revenues of any prior quarterly or annual period as an indication of our future performance.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successfully maintain and increase the number of our members or other paying users.</w:t>
      </w:r>
    </w:p>
    <w:p>
      <w:pPr>
        <w:spacing w:after="0" w:line="11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Revenues generated from membership subscription packages, mobile games and paid emoticons historically accounted for substantially all of our total revenues. Our future growth depends on our ability to convert our existing users into members and other paying users of our services and mobile games and retain our current members and paying users. Paying users include our members as well as users who make purchases of emoticons or purchase virtual items in mobile games offered on our platform. However, we cannot assure you that we will be able to retain our members and other paying users or continue to convert existing or new users into members and other paying users, nor can we assure you that we will be able to successfully compete with current and new competitors on members and other paying users. Our efforts to provide greater incentives for our users to subscribe for our membership status may not continue to succeed. Our members and other paying users may discontinue their subscriptions or other spending on our services because we no longer serve their needs, or simply because the interests and preferences of these users shift. If we cannot successfully maintain or increase the number of our members and other paying users, our business, results of operations and prospects will be adversely affected.</w:t>
      </w:r>
    </w:p>
    <w:p>
      <w:pPr>
        <w:spacing w:after="0" w:line="27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b w:val="1"/>
          <w:bCs w:val="1"/>
          <w:i w:val="1"/>
          <w:iCs w:val="1"/>
          <w:color w:val="auto"/>
        </w:rPr>
        <w:t>If we fail to launch new games or release upgrades to existing games that attract new players and retain existing players, our business and operating results will be materially and adversely affected.</w:t>
      </w:r>
    </w:p>
    <w:p>
      <w:pPr>
        <w:spacing w:after="0" w:line="62"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We have relied on mobile games for a substantial portion of our revenues, and we expect mobile games to continue to be an important part of our revenues. Revenues generated from mobile games contributed 26.3% of our total revenues in the nine months ended September 30, 2014. Growing and retaining our user base and converting some of our users into paying users largely depend on our ability to continuously offer new games and game updates that anticipate and effectively respond to changing player interests and preferences. If we cannot maintain our existing partnership with third-party game developers, or source new popular games that retain existing players and attract new players by expanding our network of partnering game developers, our business, results of operations and prospects will be materially and adversely affected.</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It is difficult to consistently anticipate player preferences or industry changes, particularly games in new genres. Neither can we assure you that the new games we offer will attract a large number of players and be commercially successful, nor can we guarantee that we will be able to meet our timetable for new game launches. A number of factors, including changing game player preferences and our relationship with existing and new third-party game developers, could affect the popularity of new games or delay the launch of new games on our platform. If the new games we introduce are not commercially successful, we may not be able to recover the expenses we incur in game development, which can be significant.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new games that we offer may attract game players away from existing games on our platform. If this occurs, it will decrease the player base of our existing games, which could result in decreased revenues from such existing games. Game players of our existing games may also spend less money to purchase virtual items in our new games than they would have spent if they had continued playing our existing games, which could materially and adversely affect our revenues.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dependent on the strength of our brand and market perception of our brand.</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In China, we market our services under the brand “ </w:t>
      </w:r>
      <w:r>
        <w:rPr>
          <w:sz w:val="1"/>
          <w:szCs w:val="1"/>
          <w:color w:val="auto"/>
        </w:rPr>
        <w:drawing>
          <wp:inline distT="0" distB="0" distL="0" distR="0">
            <wp:extent cx="188595" cy="857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 cy="85725"/>
                    </a:xfrm>
                    <a:prstGeom prst="rect">
                      <a:avLst/>
                    </a:prstGeom>
                    <a:noFill/>
                    <a:ln>
                      <a:noFill/>
                    </a:ln>
                  </pic:spPr>
                </pic:pic>
              </a:graphicData>
            </a:graphic>
          </wp:inline>
        </w:drawing>
      </w:r>
      <w:r>
        <w:rPr>
          <w:rFonts w:ascii="Arial" w:cs="Arial" w:eastAsia="Arial" w:hAnsi="Arial"/>
          <w:sz w:val="16"/>
          <w:szCs w:val="16"/>
          <w:color w:val="auto"/>
        </w:rPr>
        <w:t xml:space="preserve"> ” or “Momo.” Our business and financial performance are highly dependent on the strength and the market perception of our brand and services. A well-recognized brand is critical to increasing our user base and, in turn, facilitating our efforts to monetize our services and enhancing our attractiveness to customers. From time to time, we conduct marketing activities across various media to enhance our brand and to guide public perception of our brand and services. In order to create and maintain brand awareness and brand loyalty, to influence public perception and to retain existing and attract new mobile users, customers and platform partners, we may need to substantially increase our marketing expenditures. We cannot assure you, however, that these activities will be successful or that we will be able to achieve the brand promotion effect we expect.</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people may not understand the value of our platform, and there may be a misperception that Momo is used solely as a tool to randomly meet or date strangers. Convincing potential new users, customers and platform partners of the value of our services is critical to increasing the number of our users, customers and platform partners and to the success of our business.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Negative publicity may harm our brand and reputation and have a material adverse effect on our business and operating results.</w:t>
      </w:r>
    </w:p>
    <w:p>
      <w:pPr>
        <w:spacing w:after="0" w:line="12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Negative publicity involving us, our users, our management, our social networking platform or our business model may materially and adversely harm our brand and our business. We cannot assure you that we will be able to defuse negative publicity about us, our management and/or our services to the satisfaction of our investors, users, customers and platform partners. There has been negative publicity about our company and the misuse of our services, which has adversely affected our brand, public image and reputation. Such negative publicity, especially when it is directly addressed against us, may also require us to engage in defensive media campaigns. This may cause us to increase our marketing expenses and divert our management’s attention and may adversely impact our business and results of operations.</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November 2014, Mr. Yan Tang, our co-founder, chairman and chief executive officer, received a letter from a PRC law firm on behalf of Wangzhiyi Information Technology (Beijing) Co, Ltd., or Wangzhiyi, a PRC company affiliated with Netease, Inc., where Mr. Tang was employed from December 2003 to September 2011. The letter claimed that because Mr. Tang established Beijing Momo in July 2011 and Beijing Momo launched our application in August 2011, all while Mr. Tang was still an employee of Wangzhiyi, that he breached the terms of his employment agreement with Wangzhiyi, and violated his covenants to not compete with and devote himself to Wangzhiyi during the term of his employment. The letter requested that Mr. Tang apologize in writing to Wangzhiyi promptly and reserved Wangzhiyi’s right to pursue further action. Mr. Tang believes the claims lack merit and intends to defend himself against these claims vigorously.</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cannot predict what future action Wangzhiyi might take with respect to its claims against Mr. Tang. In the event that Wangzhiyi were to pursue these claims by means of court proceedings, we cannot predict the length or outcome of any such proceedings. Any legal action, regardless of its merits, could be time consuming and could divert the attention of Mr. Tang away from our business. Should Wangzhiyi prevail in any future lawsuit against Mr. Tang, his reputation could be harmed and he may be ordered to pay damages and/or cease any actions deemed to be wrongful by the court. Moreover, although we were not named in the letter, we cannot be sure that Wangzhiyi will not initiate proceedings against us in the future. Any such proceedings may result in negative publicity for us and divert our management’s attention and could materially and adversely affect our reputation, business and results of operations.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brand image, business and operating results may be adversely impacted by user misconduct and misuse of our platform.</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platform allows mobile users to freely contact and communicate with people nearby. Because we do not have full control over how and what users will use our platform to communicate, our platform may be misused by individuals or groups of individuals to engage in immoral, disrespectful, fraudulent or illegal activities. For example, on a daily basis we detect spam accounts through which illegal or inappropriate content is posted and illegal or fraudulent activities are conducted. Media reports and internet forums have covered some of these incidents, which has in some cases generated negative publicity about our brand and platform. We have implemented control procedures to detect and block illegal or inappropriate content and illegal or fraudulent activities conducted through the misuse of our platform, but such procedures may not prevent all such content from being posted or activities from being carried out. Moreover, as we have limited control over the real-time and offline behavior of our users, to the extent such behavior is associated with our platform, our ability to protect our brand image and reputation may be limited. Our business and the public perception of our brand may be materially and adversely affected by misuse of our platform. In addition, if any of our users suffers or alleges to have suffered physical, financial or emotional harm following contact initiated on our platform, we may face civil lawsuits or other liabilities initiated by the affected user, or governmental or regulatory actions against us. In response to allegations of illegal or inappropriate activities conducted through our platform or any negative media coverage about us, PRC government authorities may intervene and hold us liable for non-compliance with PRC laws and regulations concerning the dissemination of information on the internet and subject us to administrative penalties or other sanctions, such as requiring us to restrict or discontinue some of the features and services provided on our mobile application. As a result, our business may suffer and our user base, revenues and profitability may be materially and adversely affected, and the price of our ADSs may decline.</w:t>
      </w:r>
    </w:p>
    <w:p>
      <w:pPr>
        <w:spacing w:after="0" w:line="29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b w:val="1"/>
          <w:bCs w:val="1"/>
          <w:i w:val="1"/>
          <w:iCs w:val="1"/>
          <w:color w:val="auto"/>
        </w:rPr>
        <w:t>The market in which we operate is fragmented and highly competitive. If we are unable to compete effectively for users or user engagement, our business and operating results may be materially and adversely affected.</w:t>
      </w:r>
    </w:p>
    <w:p>
      <w:pPr>
        <w:spacing w:after="0" w:line="62"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As a social networking platform, we are subject to intense competition from providers of similar services as well as potential new types of online services, including interest-based social products. These services include mobile applications, such as Weixin and Mobile QQ. Our competitors may have substantially more cash, traffic, technical and other resources, as well as broader product or service offerings and can leverage their relationships based on other products or services to gain a larger share of marketing budgets. We may be unable to compete successfully against these competitors or new market entrants, which may adversely affect our business and financial performance.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compete effectively depends upon many factors both within and beyond our control, including:</w:t>
      </w:r>
    </w:p>
    <w:p>
      <w:pPr>
        <w:spacing w:after="0" w:line="131" w:lineRule="exact"/>
        <w:rPr>
          <w:sz w:val="20"/>
          <w:szCs w:val="20"/>
          <w:color w:val="auto"/>
        </w:rPr>
      </w:pPr>
    </w:p>
    <w:p>
      <w:pPr>
        <w:ind w:left="900" w:right="3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popularity, usefulness, ease of use, performance and reliability of our services compared to those of our competitors, and the research and development abilities of us and our competitors;</w:t>
      </w:r>
    </w:p>
    <w:p>
      <w:pPr>
        <w:spacing w:after="0" w:line="75" w:lineRule="exact"/>
        <w:rPr>
          <w:rFonts w:ascii="Arial" w:cs="Arial" w:eastAsia="Arial" w:hAnsi="Arial"/>
          <w:sz w:val="18"/>
          <w:szCs w:val="18"/>
          <w:color w:val="auto"/>
        </w:rPr>
      </w:pPr>
    </w:p>
    <w:p>
      <w:pPr>
        <w:ind w:left="900" w:right="9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mandated by, or that we elect to make to address, legislation, regulations or government policies, some of which may have a disproportionate effect on 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monetize our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and grow our operations cost-effectively;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and brand strength relative to our competitors.</w:t>
      </w:r>
    </w:p>
    <w:p>
      <w:pPr>
        <w:spacing w:after="0" w:line="33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If we fail to keep up with technological developments and evolving user expectations, we may fail to maintain or attract users and customers or generate revenues, and our business and operating results may be materially and adversely affected.</w:t>
      </w:r>
    </w:p>
    <w:p>
      <w:pPr>
        <w:spacing w:after="0" w:line="6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operate in a market characterized by rapidly changing technologies, evolving industry standards, new product and service announcements, new generations of product enhancements and changing user expectations.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Accordingly, our performance and the ability to further monetize the services on our platform will depend on our ability to adapt to these rapidly changing technologies and industry standards, and our ability to continually innovate in response to both evolving demands of the marketplace and competitive services. There may be occasions when we may not be as responsive as our competitors in adapting our services to changing industry standards and the needs of our users. Historically, new features may be introduced by one player in the industry, and if they are perceived as attractive to users, they are often quickly copied and improved upon by others.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Introducing new technologies into our systems involves numerous technical challenges, substantial amounts of capital and personnel resources and often takes many months to complete. For example, the market for mobile devices in China is highly fragmented, and the lower resolution, functionality, operating system compatibility and memory currently associated with the kaleidoscopic models of mobile devices in the Chinese marketplace may make the use of our services through these devices more difficult and impair the user experience. We intend to continue to devote resources to the development of additional technologies and services. We may not be able to effectively integrate new technologies on a timely basis or at all, which may decrease user satisfaction with our services. Such technologies, even if integrated, may not function as expected or may be unable to attract and retain a substantial number of mobile device users to use our Momo mobile application. We also may not be able to protect such technology from being copied by our competitors. Our failure to keep pace with rapid technological changes may cause us to fail to retain or attract users or generate revenues, and could have a material and adverse effect on our business and operating results.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fail to effectively manage our growth and control our costs and expenses, our business and operating results could be harmed.</w:t>
      </w:r>
    </w:p>
    <w:p>
      <w:pPr>
        <w:spacing w:after="0" w:line="12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experienced rapid growth in our business and operations and expansion of our platform since our inception in 2011, which places significant demands on our management, operational and financial resources. Since the launch of our Momo mobile application in 2011, the number of our registered users grew to 180.3 million as of September 30, 2014. Our MAUs and average DAUs reached 60.2 million and 25.5 million in September 2014, respectively, representing an increase 112.8% and 140.6% from September 2013. However, given our limited operating history and the rapidly evolving market in which we compete, we may encounter difficulties as we establish and expand our operations, product development, sales and marketing, and general and administrative capabilities. We face significant competition for talented employees from other high-growth companies, which include both publicly traded and privately held companies, and we may not be able to hire new talents quickly enough to meet our needs and support our operations. If we fail to effectively manage our hiring needs and successfully integrate our new hires, our efficiency and ability to meet our forecasts and our employee morale, productivity and retention could suffer, and our business and operating results could be adversely affected.</w:t>
      </w:r>
    </w:p>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our costs and expenses to continue to increase in the future as we broaden our user base and increase user engagement, and develop and implement new features and services that require more complexity. In addition, our cost and expenses, such as our research and development expenses, sales and marketing expenses and general and administrative expenses, have grown rapidly as we expanded our business. Historically, our costs have increased each year, and we expect to continue to incur increasing costs to support our anticipated future growth. We expect to continue to invest in our infrastructure in order to enable us to provide our services rapidly and reliably to users. Continued growth could also strain our ability to maintain reliable service levels for our users and customers, develop and improve our operational, financial, legal and management controls, and enhance our reporting systems and procedures. If we are unable to generate adequate revenues and to manage our expenses, we may continue to incur significant losses in the future and may not be able to achieve or subsequently maintain profitability. Our expenses may grow faster than our revenues, and our expenses may be greater than we anticipate. Managing our growth will require significant expenditures and the allocation of valuable management resources. If we fail to achieve the necessary level of efficiency in our organization as it grows, our business, operating results and financial condition could be harmed.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75" w:lineRule="auto"/>
        <w:rPr>
          <w:sz w:val="20"/>
          <w:szCs w:val="20"/>
          <w:color w:val="auto"/>
        </w:rPr>
      </w:pPr>
      <w:r>
        <w:rPr>
          <w:rFonts w:ascii="Arial" w:cs="Arial" w:eastAsia="Arial" w:hAnsi="Arial"/>
          <w:sz w:val="15"/>
          <w:szCs w:val="15"/>
          <w:b w:val="1"/>
          <w:bCs w:val="1"/>
          <w:i w:val="1"/>
          <w:iCs w:val="1"/>
          <w:color w:val="auto"/>
        </w:rPr>
        <w:t>Privacy concerns relating to our services and the use of user information could negatively impact our user base or user engagement, or subject us to governmental regulation and other legal obligations, which could have a material and adverse effect on our business and operating results.</w:t>
      </w:r>
    </w:p>
    <w:p>
      <w:pPr>
        <w:spacing w:after="0" w:line="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collect user profile, user location and other personal data from our users in order to better understand our users and their needs and to support our social interest graph engine and our big data analytical capabilities for more targeted services such as interest- or location- based user groups and mobile marketing services. Concerns about the collection, use, disclosure or security of personal information or chat history or other privacy-related matters, even if unfounded, could damage our reputation, cause us to lose users and customers and subject us to regulatory investigations, all of which may adversely affect our business. While we strive to comply with applicable data protection laws and regulations, as well as our privacy policies pursuant to our terms of use and other obligations we may have with respect to privacy and data protection, any failure or perceived failure to comply with these laws, regulations or policies may result, and in some cases have resulted, in inquiries and other proceedings or actions against us by government agencies or others, as well as negative publicity and damage to our reputation and brand, each of which could cause us to lose users and customers and have an adverse effect on our business and operating results.</w:t>
      </w:r>
    </w:p>
    <w:p>
      <w:pPr>
        <w:spacing w:after="0" w:line="18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systems failure or compromise of our security that results in the unauthorized access to or release of the data or chat history of our users, customers or platform partners data or chat history could significantly limit the adoption of our services, as well as harm our reputation and brand. We expect to continue expending significant resources to protect against security breaches. The risk that these types of events could seriously harm our business is likely to increase as we expand the number of services we offer and increase the size of our user base.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practices may become inconsistent with new laws or regulations concerning data protection, or the interpretation and application of existing consumer and data protection laws or regulations, which is often uncertain and in flux. If so, in addition to the possibility of fines, this could result in an order requiring that we change our practices, which could have an adverse effect on our business and operating results. Complying with new laws and regulations could cause us to incur substantial costs or require us to change our business practices in a manner materially adverse to our business. See also “—Risks Related to Doing Businesses in China—Uncertainties in the interpretation and enforcement of PRC laws and regulations could limit the legal protections available to you and us.”</w:t>
      </w:r>
    </w:p>
    <w:p>
      <w:pPr>
        <w:spacing w:after="0" w:line="30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The continuing and collaborative efforts of our senior management and key employees are crucial to our success, and our business may be harmed if we were to lose their services.</w:t>
      </w:r>
    </w:p>
    <w:p>
      <w:pPr>
        <w:spacing w:after="0" w:line="62"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depend on the continued contributions of our senior management, especially the executive officers listed in “Management” section of this prospectus, and other key employees, many of whom are difficult to replace. The loss of the services of any of our executive officers or other key employees could materially harm our business. Competition for qualified talent in China is intense. Our future success is dependent on our ability to attract a significant number of qualified employees and retain existing key employees. If we are unable to do so, our business and growth may be materially and adversely affected and the trading price of our ADSs could suffer. Our need to significantly increase the number of our qualified employees and retain key employees may cause us to materially increase compensation-related costs, including stock-based compensation.</w:t>
      </w:r>
    </w:p>
    <w:p>
      <w:pPr>
        <w:spacing w:after="0" w:line="2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cause us to be less competitive and third-party infringements of our intellectual property rights may adversely affect our business.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rely on a combination of patent, copyright, trademark and trade secret laws and restrictions on disclosure to protect our intellectual property rights. See also “Business—Intellectual Property.”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be certain that the steps we have taken will prevent misappropriation of our intellectual property. From time to time, we may have to resort to litigation to enforce our intellectual property rights, which could result in substantial costs and diversion of our resources.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There have been instances where third parties have cloned and launched counterfeits of our Momo mobile application on app stores or internet forums. Some of these counterfeits, once installed inadvertently by mobile users, were reported to automatically download and install other applications to these users’ mobile phones, charging them various fees. These counterfeits may mislead mobile users and negatively affect their perception of our application. Moreover, we may have to expend resources in connection with any legal actions that we take to curb these counterfeiting activities in order to protect our intellectual property rights, user experience and brand perception.</w:t>
      </w:r>
    </w:p>
    <w:p>
      <w:pPr>
        <w:spacing w:after="0" w:line="296"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b w:val="1"/>
          <w:bCs w:val="1"/>
          <w:i w:val="1"/>
          <w:iCs w:val="1"/>
          <w:color w:val="auto"/>
        </w:rPr>
        <w:t>We have been and may be subject to intellectual property infringement claims or other allegations by third parties for information or content displayed on, retrieved from or linked to our platform, or distributed to our users, which may materially and adversely affect our business, financial condition and prospects.</w:t>
      </w:r>
    </w:p>
    <w:p>
      <w:pPr>
        <w:spacing w:after="0" w:line="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have been and may in the future be subject to intellectual property infringement claims or other allegations by third parties for services we provide or for information or content displayed on, retrieved from or linked to our platform, or distributed to our users, which may materially and adversely affect our business, financial condition and prospects.</w:t>
      </w:r>
    </w:p>
    <w:p>
      <w:pPr>
        <w:spacing w:after="0" w:line="18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Companies in the internet, technology and media industries are frequently involved in litigation based on allegations of infringement of intellectual property rights, unfair competition, invasion of privacy, defamation and other violations of other parties’ rights. The validity, enforceability and scope of protection of intellectual property rights in internet-related industries, particularly in China, are uncertain and still evolving. We face, from time to time, and expect to face in the future, allegations that we have infringed the trademarks, copyrights, patents and other intellectual property rights of third parties, including our competitors, or allegations that we are involved in unfair trade practices. For example, in November 2014, we were served a civil complaint in</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which the plaintiff claimed that our use of the Chinese characters “ </w:t>
      </w:r>
      <w:r>
        <w:rPr>
          <w:sz w:val="1"/>
          <w:szCs w:val="1"/>
          <w:color w:val="auto"/>
        </w:rPr>
        <w:drawing>
          <wp:inline distT="0" distB="0" distL="0" distR="0">
            <wp:extent cx="188595" cy="857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 cy="85725"/>
                    </a:xfrm>
                    <a:prstGeom prst="rect">
                      <a:avLst/>
                    </a:prstGeom>
                    <a:noFill/>
                    <a:ln>
                      <a:noFill/>
                    </a:ln>
                  </pic:spPr>
                </pic:pic>
              </a:graphicData>
            </a:graphic>
          </wp:inline>
        </w:drawing>
      </w:r>
      <w:r>
        <w:rPr>
          <w:rFonts w:ascii="Arial" w:cs="Arial" w:eastAsia="Arial" w:hAnsi="Arial"/>
          <w:sz w:val="17"/>
          <w:szCs w:val="17"/>
          <w:color w:val="auto"/>
        </w:rPr>
        <w:t xml:space="preserve"> ” in marketing our brand infringed upon its trademark and demanded that we cease using the Chinese characters and pay for the plaintiff’s litigation-related costs. After consulting with our PRC counsel, we believe that because the scope of business covered by the plaintiff’s trademark class is substantially different from the scope of our business, the likelihood of the plaintiff’s claim prevailing is remote. We were informed later in November 2014 that such civil complaint had been withdrawn by the plaintiff. However, we cannot predict what future actions the plaintiff might take with respect to its claim. If the plaintiff were to file another lawsuit against us in respect of this claim, and were the plaintiff’s claim to prevail, it could have a material adverse effect on our ability to market under our brand and, as a result, would negatively affect our business. As we face increasing competition and as litigation becomes a more common method for resolving commercial disputes in China, we face a higher risk of being the subject of intellectual property infringement claims.</w:t>
      </w:r>
    </w:p>
    <w:p>
      <w:pPr>
        <w:spacing w:after="0" w:line="1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allow users to upload text, graphics, audio, video and other content to our platform and download, share, link to and otherwise access games and other content on our platform. We have procedures designed to reduce the likelihood that content might be used without proper licenses or third-party consents. However, these procedures may not be effective in preventing the unauthorized posting of copyrighted content. Therefore, we may face liability for copyright or trademark infringement, defamation, unfair competition, libel, negligence, and other claims based on the nature and content of the materials that are delivered, shared or otherwise accessed through our platform.</w:t>
      </w:r>
    </w:p>
    <w:p>
      <w:pPr>
        <w:spacing w:after="0" w:line="18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Defending intellectual property litigation is costly and can impose a significant burden on our management and employees, and there can be no assurances that favorable final outcomes will be obtained in all cases. Such claims, even if they do not result in liability, may harm our reputation. Any resulting liability or expenses, or changes required to our platform to reduce the risk of future liability, may have a material adverse effect on our business, financial condition and prospects.</w:t>
      </w:r>
    </w:p>
    <w:p>
      <w:pPr>
        <w:spacing w:after="0" w:line="29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User growth and engagement depend upon effective interoperation with mobile operating systems, networks, mobile devices and standards that we do not control.</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make our services available across a variety of mobile operating systems and devices. We are dependent on the interoperability of our services with popular mobile devices and mobile operating systems that we do not control, such as Android, iOS and Windows. Any changes in such mobile operating systems or devices that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degrade the functionality of our services or give preferential treatment to competitive services could adversely affect usage of our services. Further, if the number of platforms for which we develop our services increases, which is typically seen in a dynamic and fragmented mobile services market such as China, it will result in an increase in our costs and expenses. In order to deliver high quality services, it is important that our services work well across a range of mobile operating systems, networks, mobile devices and standards that we do not control. We may not be successful in developing relationships with key participants in the mobile industry or in developing services that operate effectively with these operating systems, networks, devices and standards. In the event that it is difficult for our users to access and use our services, particularly on their mobile devices, our user growth and user engagement could be harmed, and our business and operating results could be adversely affected.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operations depend on the performance of the internet infrastructure and fixed telecommunications networks in China.</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Almost all access to the internet in China is maintained through state-owned telecommunication operators under the administrative control and regulatory supervision of the Ministry of Industry and Information Technology, or the MIIT. Moreover,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Web traffic in China has experienced significant growth during the past few years. Effective bandwidth and server storage at internet data centers in large cities such as Beijing are scarce. With the expansion of our business, we may be required to upgrade our technology and infrastructure to keep up with the increasing traffic on our platform. We cannot assure you that the internet infrastructure and the fixed telecommunications networks in China will be able to support the demands associated with the continued growth in internet usage. If we cannot increase our capacity to deliver our online services, we may not be able to the increases in traffic we anticipate from our expanding user base, and the adoption of our services may be hindered, which could adversely impact our business and our ADS price.</w:t>
      </w:r>
    </w:p>
    <w:p>
      <w:pPr>
        <w:spacing w:after="0" w:line="16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addition, we have no control over the costs of the services provided by telecommunication service providers. If the prices we pay for telecommunications and internet services rise significantly, our results of operations may be materially and adversely affected. Furthermore, if internet access fees or other charges to internet users increase, some users may be prevented from accessing the mobile internet and thus cause the growth of mobile internet users to decelerate. Such deceleration may adversely affect our ability to continue to expand our user base.</w:t>
      </w:r>
    </w:p>
    <w:p>
      <w:pPr>
        <w:spacing w:after="0" w:line="28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b w:val="1"/>
          <w:bCs w:val="1"/>
          <w:i w:val="1"/>
          <w:iCs w:val="1"/>
          <w:color w:val="auto"/>
        </w:rPr>
        <w:t>Our business and operating results may be harmed by service disruptions, or by our failure to timely and effectively scale and adapt our existing technology and infrastructure.</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People use our platform for real-time communication, socializing and information. We have experienced, and may in the future experience, service disruptions, outages and other performance problems due to a variety of factors, including infrastructure changes, human or software errors, hardware failure, capacity constraints due to an overwhelming number of people accessing our mobile services simultaneously, computer viruses and denial of service, fraud and security attacks. Any disruption or failure in our infrastructure could hinder our ability to handle existing or increased traffic on our platform or cause us to lose content stored on our platform, which could significantly harm our business and our ability to retain existing users and attract new users.</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the number of our users increases and our users generate more content on our platform, we may be required to expand and adapt our technology and infrastructure to continue to reliably store and analyze this content. It may become increasingly difficult to maintain and improve the performance of our services, especially during peak usage times, as our services become more complex and our user traffic increases. If our users are unable to access Momo mobile application in a timely fashion, or at all, our user experience may be compromised and the users may seek other mobile social networking tools to meet their needs, and may not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return to Momo or use Momo as often in the future, or at all. This would negatively impact our ability to attract users and maintain the level of user engagement.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Future strategic alliances or acquisitions may have a material and adverse effect on our business, reputation and results of operations.</w:t>
      </w:r>
    </w:p>
    <w:p>
      <w:pPr>
        <w:spacing w:after="0" w:line="1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in the future enter into strategic alliances with various third parties. Strategic alliances with third parties could subject us to a number of risks, including risks associated with sharing proprietary information, non-performance by the counterparty and an increase in expenses incurred in establishing new strategic alliances, any of which may materially and adversely affect our business. We may have little ability to control or monitor their actions and to the extent strategic third parties suffer negative publicity or harm to their reputation from events relating to their business, we may also suffer negative publicity or harm to our reputation by virtue of our association with such third parties.</w:t>
      </w:r>
    </w:p>
    <w:p>
      <w:pPr>
        <w:spacing w:after="0" w:line="18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addition, we may acquire additional assets, technologies or businesses that are complementary to our existing business. Future acquisitions and the subsequent integration of new assets and businesses into our own would require significant attention from our management and could result in a diversion of resources from our existing business, which in turn could have an adverse effect on our business operations. Acquired assets or businesses may not generate the financial or operating results we expect. In addition, acquisitions could result in the use of substantial amounts of cash, potentially dilutive issuances of equity securities, the incurrence of debt, the incurrence of significant goodwill impairment charges, amortization expenses for other intangible assets and exposure to potential unknown liabilities of the acquired business. Moreover, the costs of identifying and consummating acquisitions may be significant. In addition to possible shareholders’ approval, we may also have to obtain approvals and licenses from the government authorities in the PRC for the acquisitions and comply with applicable PRC laws and regulations, which could result in increased costs and delays.</w:t>
      </w:r>
    </w:p>
    <w:p>
      <w:pPr>
        <w:spacing w:after="0" w:line="27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to calculate certain key operating metrics, and real or perceived inaccuracies in such metrics may harm our reputation and negatively affect our business.</w:t>
      </w:r>
    </w:p>
    <w:p>
      <w:pPr>
        <w:spacing w:after="0" w:line="62"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numbers of daily and monthly active users of Momo are calculated using internal company data that has not been independently verified. While these numbers are based on what we believe to be reasonable calculations for the applicable periods of measurement, there are inherent challenges in measuring usage and user engagement across our large user base. We treat each account as a separate user for the purposes of calculating our active users, because it may not always be possible to identify people that have set up more than one account. Accordingly, the calculations of our active users may not accurately reflect the actual number of people using Momo.</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Our measures of user growth and user engagement may differ from estimates published by third parties or from similarly titled metrics used by our competitors due to differences in methodology. If customers or platform partners do not perceive our user metrics to be accurate representations of our user base or user engagement, or if we discover material inaccuracies in our user metrics, our reputation may be harmed and customers and platform partners may be less willing to allocate their resources or spending to Momo, which could negatively affect our business and operating results.</w:t>
      </w:r>
    </w:p>
    <w:p>
      <w:pPr>
        <w:spacing w:after="0" w:line="2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b w:val="1"/>
          <w:bCs w:val="1"/>
          <w:i w:val="1"/>
          <w:iCs w:val="1"/>
          <w:color w:val="auto"/>
        </w:rPr>
        <w:t>We have granted, and expect to continue to grant, share options under our share incentive plans, which may result in increased share-based compensation expenses.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adopted two share incentive plans as of the date of this prospectus for the purpose of granting share-based compensation awards to employees, directors and consultants to incentivize their performance and align their interests with ours. In November 2012, we adopted a share incentive plan, or the 2012 Plan, which was amended and restated in October 2013. In November 2014, we adopted the 2014 share incentive plan, or the 2014 Plan, pursuant to which a maximum aggregate of 14,031,194 Class A ordinary shares may be issued pursuant to all awards granted thereunder. Beginning in 2017, the number of shares reserved for future issuances under the 2014 Plan will be increased by a number equal to 1.5% of the total number of outstanding shares on the last day of the immediately preceding calendar year, or such lesser number of Class A ordinary shares as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determined by our board of directors, on the first day of each calendar year during the term of the 2014 Plan. With the adoption of the 2014 Plan, we will no longer grant any incentive shares under the 2012 Plan. As of the date of this prospectus, options to purchase 30,787,026 ordinary shares have been granted under the 2012 Plan, 30,727,026 of which remained outstanding. Upon completion of this offering, an option to purchase our ordinary shares granted under the 2012 Plan prior to the offering will entitle the holder to purchase an equivalent number of Class A ordinary shares. We have not granted any awards under the 2014 Plan as of the date of this prospectus. See “Management—Share Incentive Plans” for a detailed discussion. In October 2014, we granted to our employees options to purchase 2,963,500 ordinary shares with an exercise price of $0.0002 per share and a vesting period of four years. Given the proximity of the grant to our proposed initial public offering, we plan to use US$6.75, which is the mid-point of the estimated initial public offering range indicated on the front cover page of this prospectus, as the fair value per share underlying the options granted in October 2014. As a result, we expect to incur approximately US$20 million share-based compensation expense in connection with the October 2014 option grant over the four-year vesting period. We believe the granting of share options is of significant importance to our ability to attract and retain our employees, and we will continue to grant share options to employees in the future. As a result, our expenses associated with share-based compensation may increase, which may have an adverse effect on our results of operations.</w:t>
      </w:r>
    </w:p>
    <w:p>
      <w:pPr>
        <w:spacing w:after="0" w:line="288"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b w:val="1"/>
          <w:bCs w:val="1"/>
          <w:i w:val="1"/>
          <w:iCs w:val="1"/>
          <w:color w:val="auto"/>
        </w:rPr>
        <w:t>If we fail to implement and maintain an effective system of internal controls or fail to remediate the material weaknesses in our internal control over financial reporting that has been identified, we may be unable to accurately report our results of operations or prevent fraud or fail to meet our reporting obligations, and investor confidence and the market price of our ADSs may be materially and adversely affected.</w:t>
      </w:r>
    </w:p>
    <w:p>
      <w:pPr>
        <w:spacing w:after="0" w:line="3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Prior to this offering, we were a private company with limited accounting personnel and other resources with which to address our internal controls and procedures. Our independent registered public accounting firm has not conducted an audit of our internal control over financial reporting. However, in preparing our consolidated financial statements as of and for the years ended December 31, 2012 and 2013, we and our independent registered public accounting firm identified two material weaknesses in our internal control over financial reporting, as defined in the standards established by the Public Company Accounting Oversight Board of the United States, or PCAOB, and other control deficiencies. The two material weaknesses identified related to lack of accounting personnel with appropriate knowledge of U.S. GAAP, and lack of a comprehensive accounting policies and procedures manual according to U.S. GAAP. Following the identification of the material weaknesses and control deficiencies, we have taken and plan to continue to take remedial measures. For details of these remedies, see “Management’s Discussion and Analysis of Financial Condition and Results of Operations—Internal Control over Financial Reporting.” However, the implementation of these measures may not fully address the material weaknesses in our internal control over financial reporting, and we cannot conclude that they have been fully remedied. Our failure to correct the material weaknesses or our failure to discover and address any other material weakness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ADSs, may be materially and adversely affected. Moreover, ineffective internal control over financial reporting significantly hinders our ability to prevent fraud.</w:t>
      </w:r>
    </w:p>
    <w:p>
      <w:pPr>
        <w:spacing w:after="0" w:line="1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Furthermore, it is possible that, had our independent registered public accounting firm conducted an audit of our internal control over financial reporting, such firm might have identified additional material weaknesses and deficiencies. Upon completion of this offering, we will become a public company in the United States subject to the Sarbanes-Oxley Act of 2002. Section 404 of the Sarbanes-Oxley Act of 2002, or Section 404, will require that we include a report of management on our internal control over financial reporting in our annual report on Form 20-F beginning with our annual report for the fiscal year ending December 31, 2015.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 business insurance coverage.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insurance industry in China is still young and the business insurance products offered in China are limited. We do not have any business liability or disruption insurance coverage for our operations. Any business disruption, litigation or natural disaster may cause us to incur substantial costs and divert our resources.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risks related to health epidemics and natural disasters.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Our business could be adversely affected by the effects of epidemics. In recent years, there have been breakouts of epidemics in China and globally. Our business operations could be disrupted if one of our employees is suspected of having H1N1 flu, avian flu or another epidemic, since it could require our employees to be quarantined and/or our offices to be disinfected. In addition, our results of operations could be adversely affected to the extent that the outbreak harms the Chinese economy in general and the mobile internet industry in particular.</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server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b w:val="1"/>
          <w:bCs w:val="1"/>
          <w:i w:val="1"/>
          <w:iCs w:val="1"/>
          <w:color w:val="auto"/>
        </w:rPr>
        <w:t>If the PRC government finds that the agreements that establish the structure for operating our businesses in China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5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Current PRC laws and regulations impose certain restrictions or prohibitions on foreign ownership of companies that engage in internet and other related businesses, including the provision of internet content and online game operations. Specifically, foreign ownership of an internet content provider may not exceed 50%. We are a company registered in the Cayman Islands and Beijing Momo Information Technology Ltd., or Beijing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Momo IT, our wholly owned PRC subsidiary, is considered a foreign-invested enterprise. To comply with PRC laws and regulations, we conduct our business in China through Beijing Momo Technology Ltd., or Beijing Momo, our consolidated affiliated entity, and its subsidiary, based on a series of contractual arrangements by and among Beijing Momo IT, Beijing Momo and its shareholders. As a result of these contractual arrangements, we exert control over Beijing Momo and its subsidiary and consolidate or combine their operating results in our financial statements under U.S. GAAP. Beijing Momo holds the licenses, approvals and key assets that are essential for our business operations.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opinion of our PRC counsel, Han Kun Law Offices, the ownership structure of our PRC subsidiary and Beijing Momo, and the contractual arrangements among our PRC subsidiary, Beijing Momo and its shareholders are in compliance with existing PRC laws, rules and regulations. There are, however, substantial uncertainties regarding the interpretation and application of current or future PRC laws and regulations. Thus, we cannot assure you that the PRC government will not ultimately take a view contrary to the opinion of our PRC counsel. If we are found in violation of any PRC laws or regulations or if the contractual arrangements among Beijing Momo IT, Beijing Momo and its shareholders are determined as illegal or invalid by the PRC court, arbitral tribunal or regulatory authorities, the relevant governmental authorities would have broad discretion in dealing with such violation, including, without limitation:</w:t>
      </w:r>
    </w:p>
    <w:p>
      <w:pPr>
        <w:spacing w:after="0" w:line="95"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revoke our business and operating licenses;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discontinue or restrict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right to collect revenues;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block our websites;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restructure the operations in such a way as to compel us to establish a new enterprise, re-apply for the necessary licenses or relocate our businesses, staff and assets;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additional conditions or requirements with which we may not be able to comply;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take other regulatory or enforcement actions against the Group that could be harmful to the Group’s business.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imposition of any of these penalties may result in a material and adverse effect on our ability to conduct the business. In addition, if the imposition of any of these penalties causes us to lose the rights to direct the activities of our consolidated affiliated entity and its subsidiary or the right to receive their economic benefits, we would no longer be able to consolidate our consolidated affiliated entity and its subsidiary. We do not believe that any penalties imposed or actions taken by the PRC government would result in the liquidation of the Company, Beijing Momo IT, or our consolidated affiliated entity and its subsidiary.</w:t>
      </w:r>
    </w:p>
    <w:p>
      <w:pPr>
        <w:spacing w:after="0" w:line="296"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Beijing Momo and its shareholders for our operations in China, which may not be as effective in providing operational control as direct ownership.</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Due to the PRC restrictions or prohibitions on foreign ownership of internet and other related businesses in China, we operate our business in China through Beijing Momo and its subsidiary, our consolidated affiliated entity and its subsidiary, in which we have no ownership interest. We rely on a series of contractual arrangements with Beijing Momo and its shareholders, including the powers of attorney, to control and operate its business. Our ability to control the consolidated affiliated entity and its subsidiary depends on the powers of attorney, pursuant to which Beijing Momo IT can vote on all matters requiring shareholder approval in the Beijing Momo. We believe this power of attorney is legally enforceable but may not be as effective as direct equity ownership. These contractual arrangements are intended to provide us with effective control over Beijing Momo and its subsidiary and allow us to obtain economic benefits from them. See “Corporate History and Structure—Contractual Arrangements with Beijing Momo” for more details about these contractual arrangements.</w:t>
      </w:r>
    </w:p>
    <w:p>
      <w:pPr>
        <w:spacing w:after="0" w:line="192"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Although we have been advised by our PRC counsel, Han Kun Law Offices, that these contractual arrangements are valid, binding and enforceable under existing PRC laws and regulations, these contractual arrangements may not be as effective in providing control over Beijing Momo and its subsidiary as direct ownership. If Beijing Momo or its shareholders fail to perform their respective obligations under the contractual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arrangements, we may incur substantial costs and expend substantial resources to enforce our rights. All of these contractual arrangements are governed by and interpreted in accordance with PRC law, and disputes arising from these contractual arrangements will be resolved through arbitration in China. However, the legal system in China, particularly as it relates to arbitration proceedings, is not as developed as in other jurisdictions, such as the United States. See “Risk Factors—Risks Related to Doing Business in China—Uncertainties in the interpretation and enforcement of PRC laws and regulations could limit the legal protections available to you and us.” There are very few precedents and little official guidance as to how contractual arrangements in the context of a variable interest entity should be interpreted or enforced under PRC law. There remain significant uncertainties regarding the ultimate outcome of arbitration should legal action become necessary. These uncertainties could limit our ability to enforce these contractual arrangements. In addition, arbitration awards are final and can only be enforced in PRC courts through arbitration award recognition proceedings, which could cause additional expenses and delays. In the event we are unable to enforce these contractual arrangements or we experience significant delays or other obstacles in the process of enforcing these contractual arrangements, we may not be able to exert effective control over our affiliated entities and may lose control over the assets owned by Beijing Momo and its subsidiary. As a result, we may be unable to consolidate Beijing Momo and its subsidiary in our consolidated financial statements, our ability to conduct our business may be negatively affected, and our business operations could be severely disrupted, which could materially and adversely affect our results of operations and financial condition.</w:t>
      </w:r>
    </w:p>
    <w:p>
      <w:pPr>
        <w:spacing w:after="0" w:line="296"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b w:val="1"/>
          <w:bCs w:val="1"/>
          <w:i w:val="1"/>
          <w:iCs w:val="1"/>
          <w:color w:val="auto"/>
        </w:rPr>
        <w:t>We may lose the ability to use and enjoy assets held by Beijing Momo and its subsidiary that are important to the operation of our business if Beijing Momo or its subsidiary declares bankruptcy or becomes subject to a dissolution or liquidation proceeding.</w:t>
      </w:r>
    </w:p>
    <w:p>
      <w:pPr>
        <w:spacing w:after="0" w:line="3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Beijing Momo and its subsidiary, Chengdu Momo, hold certain assets that are important to our business operations, including the value-added telecommunication service license concerning the internet information service, or the ICP License, and the Online Culture Operating Permit. Under our contractual arrangements, the shareholders of Beijing Momo may not voluntarily liquidate Beijing Momo or approve it to sell, transfer, mortgage or dispose of its assets or legal or beneficial interests exceeding certain threshold in the business in any manner without our prior consent. However, in the event that the shareholders breach this obligation and voluntarily liquidate Beijing Momo, or Beijing Momo declares bankruptcy, or all or part of its assets become subject to liens or rights of third-party creditors, we may be unable to continue some or all of our business operations, which could materially and adversely affect our business, financial condition and results of operations. Furthermore, if Beijing Momo or its subsidiary undergoes a voluntary or involuntary liquidation proceeding, its shareholders or unrelated third-party creditors may claim rights to some or all of its assets, thereby hindering our ability to operate our business, which could materially and adversely affect our business, financial condition and results of operations.</w:t>
      </w:r>
    </w:p>
    <w:p>
      <w:pPr>
        <w:spacing w:after="0" w:line="2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Contractual arrangements we have entered into with Beijing Momo may be subject to scrutiny by the PRC tax authorities. A finding that we owe additional taxes could significantly reduce our consolidated net income and the value of your investment.</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Pursuant to applicable PRC laws and regulations, arrangements and transactions among related parties may be subject to audit or challenge by the PRC tax authorities. We may be subject to adverse tax consequences if the PRC tax authorities determine that the contractual arrangements among our PRC subsidiary, Beijing Momo and its shareholders are not on an arm’s length basis and therefore constitute favorable transfer pricing. As a result, the PRC tax authorities could require that Beijing Momo adjust its taxable income upward for PRC tax purposes. Such an adjustment could adversely affect us by increasing Beijing Momo’s tax expenses without reducing the tax expenses of our PRC subsidiary, subjecting Beijing Momo to late payment fees and other penalties for under-payment of taxes, and resulting in our PRC subsidiary’s loss of its preferential tax treatment. Our consolidated results of operations may be adversely affected if Beijing Momo’s tax liabilities increase or if it is subject to late payment fees or other penalties.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If the chops of our PRC subsidiary, Beijing Momo and its subsidiary, are not kept safely, are stolen or are used by unauthorized persons or for unauthorized purposes, the corporate governance of these entities could be severely and adversely compromised.</w:t>
      </w:r>
    </w:p>
    <w:p>
      <w:pPr>
        <w:spacing w:after="0" w:line="3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subsidiary, Beijing Momo and its subsidiary are generally held securely by personnel designated or approved by us in accordance with our internal control procedures. To the extent those chops are not kept safe,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shareholders of Beijing Momo may have potential conflicts of interest with us, which may materially and adversely affect our business.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shareholders of Beijing Momo, our consolidated affiliated entity, include Messrs. Yan Tang, Yong Li, Xiaoliang Lei and Zhiwei Li, who are also our shareholders, directors or officers. Conflicts of interest may arise between the roles of Messrs. Yan Tang, Yong Li, Xiaoliang Lei and Zhiwei Li as shareholders, directors or officers of our company and as shareholders of Beijing Momo. We rely on these individuals to abide by the laws of the Cayman Islands, which provide that directors and officers owe a fiduciary duty to our company to act in good faith and in the best interest of our company and not to use their positions for personal gain. The shareholders of Beijing Momo have executed powers of attorney to appoint Beijing Momo IT, our PRC subsidiary, or a person designated by Beijing Momo IT to vote on their behalf and exercise voting rights as shareholders of Beijing Momo. We cannot assure you that when conflicts arise, shareholders of Beijing Momo will act in the best interest of our company or that conflicts will be resolved in our favor. If we cannot resolve any conflicts of interest or disputes between us and these shareholders, we would have to rely on legal proceedings, which may be expensive, time-consuming and disruptive to our operations. There is also substantial uncertainty as to the outcome of any such legal proceedings.</w:t>
      </w:r>
    </w:p>
    <w:p>
      <w:pPr>
        <w:spacing w:after="0" w:line="27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We may rely on dividends paid by our PRC subsidiary to fund cash and financing requirements. Any limitation on the ability of our PRC subsidiary to pay dividends to us could have a material adverse effect on our ability to conduct our business and to pay dividends to holders of the ADSs and our ordinary shares.</w:t>
      </w:r>
    </w:p>
    <w:p>
      <w:pPr>
        <w:spacing w:after="0" w:line="7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a holding company, and we may rely on dividends to be paid by our PRC subsidiary for our cash and financing requirements, including the funds necessary to pay dividends and other cash distributions to the holders of the ADSs and our ordinary shares and service any debt we may incur. If our PRC subsidiary incur debt on their own behalf in the future, the instruments governing the debt may restrict their ability to pay dividends or make other distributions to us.</w:t>
      </w:r>
    </w:p>
    <w:p>
      <w:pPr>
        <w:spacing w:after="0" w:line="18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Under PRC laws and regulations, a wholly foreign-owned enterprises in the PRC, such as Beijing Momo IT, may pay dividends only out of its accumulated profits as determined in accordance with PRC accounting standards and regulations. In addition, a wholly foreign-owned enterprise is required to set aside at least 10% of its after-tax profits each year, after making up previous years’ accumulated losses, if any, to fund certain statutory reserve funds, until the aggregate amount of such a fund reaches 50% of its registered capital. At the discretion of the board of director of the wholly foreign-owned enterprise, it may allocate a portion of its after-tax profits based on PRC accounting standards to staff welfare and bonus funds. These reserve funds and staff welfare and bonus funds are not distributable as cash dividends. Any limitation on the ability of our wholly-owned PRC subsidiary to pay dividends or make other distributions to us could materially and adversely limit our ability to grow, make investments or acquisitions that could be beneficial to our business, pay dividends, or otherwise fund and conduct our business.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Uncertainties in the interpretation and enforcement of PRC laws and regulations could limit the legal protections available to you and us.</w:t>
      </w:r>
    </w:p>
    <w:p>
      <w:pPr>
        <w:spacing w:after="0" w:line="140"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The PRC legal system is based on written statutes and court decisions have limited precedential value. The PRC legal system evolves rapidly, and the interpretations of many laws, regulations and rules may contain inconsistencies and enforcement of these laws, regulations and rules involves uncertainties.</w:t>
      </w:r>
    </w:p>
    <w:p>
      <w:pPr>
        <w:spacing w:after="0" w:line="12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From time to time, we may have to resort to administrative and court proceedings to enforce our legal rights. However, since PRC judicial and administrative authorities have significant discretion in interpreting and implementing statutory and contractual terms, it may be more difficult to predict the outcome of a judicial or administrative proceeding than in more developed legal systems. Furthermore, the PRC legal system is based, in part, on government policies and internal rules, some of which are not published in a timely manner, or at all, but which may have retroactive effect. As a result, we may not always be aware of any potential violation of these policies and rules. Such unpredictability towards our contractual, property (including intellectual property) and procedural rights could adversely affect our business and impede our ability to continue our operations.</w:t>
      </w:r>
    </w:p>
    <w:p>
      <w:pPr>
        <w:spacing w:after="0" w:line="2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mobile and internet in China may adversely affect our business and subject us to liability for content posted on our platform.</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Internet companies in China are subject to a variety of existing and new rules, regulations, policies, and license and permit requirements. In connection with enforcing these rules, regulations, policies and requirements, relevant government authorities may suspend services by, or revoke licenses of, any internet or mobile content service provider that is deemed to provide illicit content online or on mobile devices, and such activities may be intensified in connection with any ongoing government campaigns to eliminate prohibited content online. For example, in April 2014, the Office of the Anti-Pornography and Illegal Publications Working Group, the State Internet Information Office, the Ministry of Industry and Information Technology and the Ministry of Public Security jointly launched an “Anti-Pornography and Illegal Publications – Clean Up the Internet 2014” campaign. Based on publicly available information, the campaign aims to eliminate pornographic information and content in the internet information services industry by, among other things, holding liable individuals and corporate entities that facilitate the distribution of pornographic information and content. During the campaign, the Office of the Anti-Pornography and Illegal Publications Working Group sanctioned six companies, five of which are publicly traded, due to the presence of pornographic content on their respective websites or platforms. The sanctions included public criticisms, fines ranging from RMB50,000 (US$8,146) to RMB5.1 million (US$0.8 million), and the revocation of online publishing and online video licenses. Further, in the case of one privately held company alleged to have directly profited from distributing pornographic and pirated videos via its streaming video player, its chief executive officer was arrested and has been transferred to the prosecuting authorities for further action.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endeavor to eliminate illicit content from our platform. We have made substantial investments in resources to monitor content that users post on our platform and the way in which our users engage with each other through our platform. Since our inception, we have terminated over 10 million user accounts because we viewed content generated by those users to be indecent and during September 2014 we terminated 11.2% of new user accounts in order to eliminate spam, fictitious accounts and indecent content from our platform. We use a variety of methods to ensure our platform remains a healthy and positive experience for our users, including a designated content management team, licensed third party software, our own data analytics software, and our user tiering system. Although we employ these methods to filter our users and content posted by our users, we cannot be sure that our internal content control efforts will be sufficient to remove all content that may be viewed as indecent or otherwise non-compliant with PRC law and regulations. Government standards and interpretations as to what constitutes illicit online content or behavior are subject to interpretation and may change. Although we have not received any government sanctions in connection with content posted on our platform, government standards and interpretations may change in a manner that could render our current monitoring efforts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insufficient. The Chinese government has wide discretion in regulating online activities and, irrespective of our efforts to control the content on our platform, government campaigns and other actions to reduce illicit content and activities could subject us to negative press or regulatory challenges and sanctions, including fines, the suspension or revocation of our licenses to operate in China or a ban of our platform, including closure of one or more parts of or our entire business. Further, our senior management could be held criminally liable if we are deemed to be profiting from illicit content on our platform. Although our business and operations have not been materially adversely affected by government campaigns or any other regulatory actions in the past, we cannot assure you that our business and operations will be immune from government actions or sanctions in the future. If government actions or sanctions are brought against us, or if there are widespread rumors that government actions or sanctions have been brought against us, our reputation could be harmed, we may lose users and customers, our revenues and results of operation may be materially and adversely affected and the value of our ADSs could be dramatically reduced.</w:t>
      </w:r>
    </w:p>
    <w:p>
      <w:pPr>
        <w:spacing w:after="0" w:line="30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b w:val="1"/>
          <w:bCs w:val="1"/>
          <w:i w:val="1"/>
          <w:iCs w:val="1"/>
          <w:color w:val="auto"/>
        </w:rPr>
        <w:t>Content posted or displayed on our social networking platform may be found objectionable by PRC regulatory authorities and may subject us to penalties and other severe consequences.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PRC government has adopted regulations governing internet and wireless access and the distribution of information over the internet and wireless telecommunication networks. Under these regulations, internet content providers and internet publishers are prohibited from posting or displaying over the internet or wireless networks content that, among other things, violates PRC laws and regulations, impairs the national dignity of China or the public interest, or is obscene, superstitious, fraudulent or defamatory. Furthermore, internet content providers are also prohibited from displaying content that may be deemed by relevant government authorities as “socially destabilizing” or leaking “state secrets” of the PRC. Failure to comply with these requirements may result in the revocation of licenses to provide internet content or other licenses, the closure of the concerned platforms and reputational harm. The operator may also be held liable for any censored information displayed on or linked to their platform. For a detailed discussion, see “Regulation.”</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Since our inception, we have designed and implemented procedures to monitor the content on our social networking platform in order to comply with relevant laws and regulations. However, it may not be possible to determine in all cases the types of content that could result in our liability as a distributor of such content and, if any of the content posted or displayed on our social networking platform is deemed by the PRC government to violate any content restrictions, we would not be able to continue to display such content and could become subject to penalties, including confiscation of income, fines, suspension of business and revocation of required licenses, which could materially and adversely affect our business, financial condition and results of operations.</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may also be subject to potential liability for any unlawful actions by our users on our platform. It may be difficult to determine the type of content or actions that may result in liability to us and, if we are found to be liable, we may be prevented from operating our business in China. Moreover, the costs of compliance with these regulations may continue to increase as a result of more content being made available by an increasing number of users of our social networking platform, which may adversely affect our results of operations. Although we have adopted internal procedures to monitor content and to remove offending content once we become aware of any potential or alleged violation, we may not be able to identify all the content that may violate relevant laws and regulations or third-party intellectual property rights. Even if we manage to identify and remove offensive content, we may still be held liable.</w:t>
      </w:r>
    </w:p>
    <w:p>
      <w:pPr>
        <w:spacing w:after="0" w:line="2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b w:val="1"/>
          <w:bCs w:val="1"/>
          <w:i w:val="1"/>
          <w:iCs w:val="1"/>
          <w:color w:val="auto"/>
        </w:rPr>
        <w:t>If we fail to obtain and maintain the requisite licenses and approvals required under the complex regulatory environment applicable to our businesses in China, or if we are required to take compliance actions that are time-consuming or costly, our business, financial condition and results of operations may be materially and adversely affected.</w:t>
      </w:r>
    </w:p>
    <w:p>
      <w:pPr>
        <w:spacing w:after="0" w:line="7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internet and mobile industries in China are highly regulated. Beijing Momo and its subsidiary are required to obtain and maintain applicable licenses and approvals from different regulatory authorities in order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provide their current services. Under the current PRC regulatory scheme, a number of regulatory agencies, including but not limited to the State Administration of Press, Publication, Radio, Film and Television, or SARFT, the Ministry of Culture, or MOC, Ministry of Industry and Information Technology, or MIIT, and the State Council Information Office, or SCIO, jointly regulate all major aspects of the internet industry, including the mobile internet and mobile games businesses. Operators must obtain various government approvals and licenses for relevant mobile business.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have obtained the ICP licenses for provision of internet information services and Online Culture Operating Licenses for operation of online games. These licenses are essential to the operation of our business and are generally subject to regular government review or renewal. However, we cannot assure you that we can successfully renew these licenses in a timely manner or that these licenses are sufficient to conduct all of our present or future business.</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also required to obtain an Internet Publishing License from SARFT in order to publish online games through the mobile networks. As of the date of this prospectus, we have yet to obtain an Internet Publishing License, and are in the process of preparing the application documents. Each mobile game is also required to be approved by SARFT prior to the commencement of its operations in China. As of the date of this prospectus, we have obtained an approval from the SARFT for one game, and we are still in the process of applying with the SARFT for the approvals of the remaining games. In the event of any failure to meet the above-mentioned requirements, we may no longer be able to offer games on our platform, which would have a material adverse effect on our business and results of operations. All domestic online games must be filed with the MOC within 30 days after operation, and all imported online games must be approved by the MOC. As of the date of this prospectus, three of the 11 online games we offer have completed the filing with the MOC. If we fail to complete, obtain or maintain any of the required licenses or approvals or make the necessary filings, we may be subject to various penalties, such as confiscation of the net revenues that were generated through online games, the imposition of fines and the discontinuation or restriction of our operations of online games.</w:t>
      </w:r>
    </w:p>
    <w:p>
      <w:pPr>
        <w:spacing w:after="0" w:line="19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Considerable uncertainties exist regarding the interpretation and implementation of existing and future laws and regulations governing our business activities. We cannot assure you that we will not be found in violation of any future laws and regulations or any of the laws and regulations currently in effect due to changes in the relevant authorities’ interpretation of these laws and regulations. If we fail to complete, obtain or maintain any of the required licenses or approvals or make the necessary filings, we may be subject to various penalties, such as confiscation of the net revenues that were generated through the unlicensed internet or mobile activities, the imposition of fines and the discontinuation or restriction of our operations. Any such penalties may disrupt our business operations and materially and adversely affect our business, financial condition and results of operations.</w:t>
      </w:r>
    </w:p>
    <w:p>
      <w:pPr>
        <w:spacing w:after="0" w:line="2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of the PRC government could have a material and adverse effect on overall economic growth in China, which could materially and adversely affect our business.</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revenues are substantially sourced from China. Accordingly, our results of operations, financial condition and prospects are influenced by economic, political and legal developments in China. Economic reforms begun in the late 1970s have resulted in significant economic growth. However, any economic reform policies or measures in China may from time to time be modified or revised. China’s economy differs from the economies of most developed countries in many respects, including with respect to the amount of government involvement, level of development, growth rate, control of foreign exchange and allocation of resources. While the PRC economy has experienced significant growth in the past 30 years, growth has been uneven across different regions and between economic sectors. The PRC government exercises significant control over China’s economic growth through strategically allocating resources, controlling the payment of foreign currency-denominated obligations, setting monetary policy and providing preferential treatment to particular industries or</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companies. Although the Chinese economy has grown significantly in the past decade, that growth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280" w:lineRule="exact"/>
        <w:rPr>
          <w:sz w:val="20"/>
          <w:szCs w:val="20"/>
          <w:color w:val="auto"/>
        </w:rPr>
      </w:pPr>
    </w:p>
    <w:p>
      <w:pPr>
        <w:ind w:right="860" w:firstLine="456"/>
        <w:spacing w:after="0" w:line="375" w:lineRule="auto"/>
        <w:rPr>
          <w:sz w:val="20"/>
          <w:szCs w:val="20"/>
          <w:color w:val="auto"/>
        </w:rPr>
      </w:pPr>
      <w:r>
        <w:rPr>
          <w:rFonts w:ascii="Arial" w:cs="Arial" w:eastAsia="Arial" w:hAnsi="Arial"/>
          <w:sz w:val="15"/>
          <w:szCs w:val="15"/>
          <w:b w:val="1"/>
          <w:bCs w:val="1"/>
          <w:i w:val="1"/>
          <w:iCs w:val="1"/>
          <w:color w:val="auto"/>
        </w:rPr>
        <w:t>Under the PRC Enterprise Income Tax Law, we may be classified as a PRC “resident enterprise,” which could result in unfavorable tax consequences to us and our shareholders and have a material adverse effect on our results of operations and the value of your investment.</w:t>
      </w:r>
    </w:p>
    <w:p>
      <w:pPr>
        <w:spacing w:after="0" w:line="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Under the PRC Enterprise Income Tax Law, or the EIT Law, which became effective on January 1, 2008, an enterprise established outside the PRC with “de facto management bodies” within the PRC is considered a “resident enterprise” for PRC enterprise income tax purposes and is generally subject to a uniform 25% enterprise income tax rate on its worldwide income. In 2009, the State Administration of Taxation, or the SAT, issued the Notice Regarding the Determination of Chinese-Controlled Overseas Incorporated Enterprises as PRC Tax Resident Enterprise on the Basis of De Facto Management Bodies, or SAT Circular 82, which provides certain specific criteria for determining whether the “de facto management body” of a PRC-controlled enterprise that is incorporated offshore is located in China. Further to SAT Circular 82, on July 27, 2011, the SAT issued the Administrative Measures for Enterprise Income Tax of Chinese-Controlled Offshore Incorporated Resident Enterprises (Trial), or SAT Bulletin 45, to provide more guidance on the implementation of SAT Circular 82; the bulletin became effective on September 1, 2011. SAT Bulletin 45 clarified certain issues in the areas of resident status determination, post-determination administration and competent tax authorities’ procedures.</w:t>
      </w:r>
    </w:p>
    <w:p>
      <w:pPr>
        <w:spacing w:after="0" w:line="18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According to SAT Circular 82, an offshore incorporated enterprise controlled by a PRC enterprise or a PRC enterprise group will be considered as a PRC tax resident enterprise by virtue of having its “de facto management body” in China and will be subject to PRC enterprise income tax on its worldwide income only if all of the following conditions are met: (a) the senior management and core management departments in charge of its daily operations function have their presence mainly in the PRC; (b) its financial and human resources decisions are subject to determination or approval by persons or bodies in the PRC; (c) its major assets, accounting books, company seals, and minutes and files of its board and shareholders’ meetings are located or kept in the PRC; and</w:t>
      </w:r>
    </w:p>
    <w:p>
      <w:pPr>
        <w:spacing w:after="0" w:line="2" w:lineRule="exact"/>
        <w:rPr>
          <w:sz w:val="20"/>
          <w:szCs w:val="20"/>
          <w:color w:val="auto"/>
        </w:rPr>
      </w:pPr>
    </w:p>
    <w:p>
      <w:pPr>
        <w:ind w:right="100" w:firstLine="8"/>
        <w:spacing w:after="0" w:line="302"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more than half of the enterprise’s directors or senior management with voting rights habitually reside in the PRC. SAT Bulletin 45 specifies that when provided with a copy of Chinese tax resident determination certificate from a resident Chinese controlled offshore incorporated enterprise, the payer should not withhold 10% income tax when paying the Chinese-sourced dividends, interest, royalties, etc. to the Chinese controlled offshore incorporated enterprise.</w:t>
      </w:r>
    </w:p>
    <w:p>
      <w:pPr>
        <w:spacing w:after="0" w:line="15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SAT Circular 82 and SAT Bulletin 45 only apply to offshore incorporated enterprises controlled by PRC enterprises or PRC enterprise groups and not those controlled by PRC individuals or foreigners, the determination criteria set forth therein may reflect the SAT’s general position on how the term “de facto management body” could be applied in determining the tax resident status of offshore enterprises, regardless of whether they are controlled by PRC enterprises, individuals or foreigners.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the PRC tax authorities determine that we or any of our non-PRC subsidiaries is a PRC resident enterprise for PRC enterprise income tax purposes, then we or any such non-PRC subsidiary could be subject to PRC tax at a rate of 25% on its world-wide income, which could materially reduce our net income. In addition, we will also be subject to PRC enterprise income tax reporting obligations.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the PRC tax authorities determine that our company is a PRC resident enterprise for PRC enterprise income tax purposes, gains realized on the sale or other disposition of ADSs or ordinary shares may be subject to PRC tax, at a rate of 10% in the case of non-PRC enterprises or 20% in the case of non-PRC individuals (in each case, subject to the provisions of any applicable tax treaty), if such gains are deemed to be from PRC sources. Any such tax may reduce the returns on your investment in the ADSs.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uncertainty with respect to indirect transfer of equity interests in PRC resident enterprises by their non-PRC holding companies.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face uncertainties regarding the reporting on and consequences of previous private equity financing transactions involving the transfer and exchange of shares in our company by non-resident investors. According to the Notice on Strengthening Administration of Enterprise Income Tax for Share Transfers by Non-PRC Resident Enterprises issued by the PRC State Administration of Taxation on December 10, 2009, with retroactive effect from January 1, 2008, or SAT Circular 698, where a non-resident enterprise transfers the equity interests in a PRC resident enterprise indirectly through a disposition of equity interests in an overseas holding company (other than a purchase and sale of shares issued by a PRC resident enterprise in public securities market), or an Indirect Transfer, and such overseas holding company is located in a tax jurisdiction that: (a) has an effective tax rate less than 12.5% or (b) does not tax foreign income of its residents, the non-resident enterprise, as the seller, shall report such Indirect Transfer to the competent tax authority of the PRC resident enterprise within 30 days of execution of the equity transfer agreement for such Indirect Transfer. The PRC tax authority will examine the true nature of the Indirect Transfer, and if the tax authority considers that the foreign investor has adopted an abusive arrangement without reasonable commercial purposes and for the purpose of avoiding or reducing PRC tax, they will disregard the existence of the overseas holding company that is used for tax planning purposes and re-characterize the Indirect Transfer. As a result, gains derived from such Indirect Transfer may be subject to PRC withholding tax at the rate of up to 10%. SAT Circular 698 also points out that when a non-resident enterprise transfers its equity interests in a PRC resident enterprise to its related parties at a price lower than the fair market value, the competent tax authorities have the power to make a reasonable adjustment on the taxable income of the transaction.</w:t>
      </w:r>
    </w:p>
    <w:p>
      <w:pPr>
        <w:spacing w:after="0" w:line="2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color w:val="auto"/>
        </w:rPr>
        <w:t>China’s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Regulations on Mergers and Acquisitions of Domestic Enterprises by Foreign Investors, or the M&amp;A Rules, and other recently adopted regulations and rules concerning mergers and acquisitions established additional procedures and requirements that could make merger and acquisition activities by foreign investors more time 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 Moreover, the Anti-Monopoly Law promulgated by the Standing Committee of the National People’s Congress on August 30, 2007 and effective as of August 1, 2008 requires that transactions which are deemed concentrations and involve parties with specified turnover thresholds (i.e., during the previous fiscal year, (i) the total global turnover of all operators participating in the transaction exceeds RMB10 billion and at least two of these operators each had a turnover of more than RMB400 million within China, or (ii) the total turnover within China of all the operators participating in the concentration exceeded RMB2 billion, and at least two of these operators each had a turnover of more than RMB400 million within China) must be cleared by MOFCOM before they can be completed. In addition, on February 3, 2011, the General Office of the State Council promulgated a Notice on Establishing the Security Review System for Mergers and Acquisitions of Domestic Enterprises by Foreign Investors, or the Circular 6, which officially established a security review system for mergers and acquisitions of domestic enterprises by foreign investors. Further, on August 25, 2011, MOFCOM promulgated the Regulations on Implementation of Security Review System for the Merger and Acquisition of Domestic Enterprises by Foreign Investors, or the MOFCOM Security Review Regulations, which became effective on September 1, 2011, to implement the Circular 6. Under Circular 6, a security review is required for mergers and acquisitions by foreign investors having “national defense and security” concerns and mergers and acquisitions by which foreign investors may acquire the “de facto control” of domestic enterprises with “national security” concerns. Under the MOFCOM Security Review Regulations, MOFCOM will focus on the substance and actual impact of the transaction when deciding whether a specific merger or acquisition is subject to security review. If MOFCOM decides that a specific merger or acquisition is subject to security review, it will submit it to the Inter-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Ministerial Panel, an authority established under the Circular 6 led by the National Development and Reform Commission, or NDRC, and MOFCOM under the leadership of the State Council, to carry out security review. The regulations prohibit foreign investors from bypassing the security review by structuring transactions through trusts, indirect investments, leases, loans, control through contractual arrangements or offshore transactions. There is no explicit provision or official interpretation stating that the merging or acquisition of a company engaged in the mobile games business requires security review, and there is no requirement that acquisitions completed prior to the promulgation of the Security Review Circular are subject to MOFCOM review.</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MOFCOM or its local counterparts may delay or inhibit our ability to complete such transactions. It is unclear whether our business would be deemed to be in an industry that raises “national defense and security” or “national security” concerns. However, MOFCOM or other government agencies may publish explanations in the future determining that our business is in an industry subject to the security review, in which case our future acquisitions in the PRC, including those by way of entering into contractual control arrangements with target entities, may be closely scrutinized or prohibited.</w:t>
      </w:r>
    </w:p>
    <w:p>
      <w:pPr>
        <w:spacing w:after="0" w:line="2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b w:val="1"/>
          <w:bCs w:val="1"/>
          <w:i w:val="1"/>
          <w:iCs w:val="1"/>
          <w:color w:val="auto"/>
        </w:rPr>
        <w:t>PRC regulations relating to offshore investment activities by PRC residents may limit our PRC subsidiary’s ability to increase their registered capital or distribute profits to us or otherwise expose us to liability and penalties under PRC law.</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SAFE promulgated the Circular on Relevant Issues Relating to Domestic Resident’s Investment and Financing and Roundtrip Investment through Special Purpose Vehicles, or SAFE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9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SAFE Circular 37 is issued to replace the Notice on Relevant Issues Concerning Foreign Exchange Administration for PRC Residents Engaging in Financing and Roundtrip Investments via Overseas Special Purpose Vehicles, or SAFE Circular 75.</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our shareholders who are PRC residents or entities do not complete their registration with the local SAFE branches, our PRC subsidiary may be prohibited from distributing their profits and proceeds from any reduction in capital, share transfer or liquidation to us, and we may be restricted in our ability to contribute additional capital to our PRC subsidiary. Moreover, failure to comply with the SAFE registration described above could result in liability under PRC laws for evasion of applicable foreign exchange restrictions.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Messrs. Yan Tang, Yong Li, Xiaoliang Lei and Zhiwei Li have completed SAFE registration in connection with our financings and share transfer.</w:t>
      </w:r>
    </w:p>
    <w:p>
      <w:pPr>
        <w:spacing w:after="0" w:line="23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However, we cannot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subsidiary, could subject us to fines or legal sanctions, restrict our overseas or cross-border investment activities, limit our subsidiaries’ ability to make distributions or pay dividends or affect our ownership structure, which could adversely affect our business and prospects.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requirements for employee stock ownership plans or share option plans may subject the PRC plan participants or us to fines and other legal or administrative sanctions.</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On February 15, 2012, SAFE promulgated the Notices on Issues Concerning the Foreign Exchange Administration for Domestic Individuals Participating in Stock Incentive Plans of Overseas Publicly-Listed Companies, or the Stock Option Rules, which replaced the Application Procedures of Foreign Exchange Administration for Domestic Individuals Participating in Employee Stock Ownership Plans or Stock Option Plans of Overseas Publicly-Listed Companies issued by SAFE on March 28, 2007. Under the Stock Option Rules and other relevant rules and regulations, PRC residents who participate in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such overseas publicly listed company or another qualified institution selected by such PRC subsidiary, to conduct the SAFE registration and other procedures with respect to the stock incentive plan on behalf of its participants. Such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We and our PRC employees who have been granted stock options will be subject to these regulations upon the completion of this offering. Failure of our PRC stock option holders to complete their SAFE registrations may subject these PRC residents to fines and legal sanctions and may also limit our ability to contribute additional capital into our PRC subsidiary, limit our PRC subsidiary’s ability to distribute dividends to us, or otherwise materially adversely affect our business.</w:t>
      </w:r>
    </w:p>
    <w:p>
      <w:pPr>
        <w:spacing w:after="0" w:line="2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restrict or prevent us from using the proceeds of our initial public offering to make loans to our PRC subsidiary and consolidated affiliated entity and its subsidiary, or to make additional capital contributions to our PRC subsidiary.</w:t>
      </w:r>
    </w:p>
    <w:p>
      <w:pPr>
        <w:spacing w:after="0" w:line="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an offshore holding company conducting our operations in China through our PRC subsidiary and consolidated affiliated entity and its subsidiary. We may make loans to our PRC subsidiary and consolidated affiliated entity and its subsidiary, or we may make additional capital contributions to our PRC subsidiary, or we may establish new PRC subsidiaries and make capital contributions to these new PRC subsidiaries, or we may acquire offshore entities with business operations in China in an offshore transaction.</w:t>
      </w:r>
    </w:p>
    <w:p>
      <w:pPr>
        <w:spacing w:after="0" w:line="18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Most of these ways are subject to PRC regulations and approvals. For example, loans by us to our wholly owned PRC subsidiary to finance their activities cannot exceed statutory limits and must be registered with the local counterpart of SAFE. If we decide to finance our wholly owned PRC subsidiaries by means of capital contributions, these capital contributions must be approved by the MOFCOM or its local counterpart. Due to the restrictions imposed on loans in foreign currencies extended to any PRC domestic companies, we are not likely to make such loans to Beijing Momo, which is PRC domestic company. Further, we are not likely to finance the activities of Beijing Momo by means of capital contributions due to regulatory restrictions relating to foreign investment in PRC domestic enterprises engaged in mobile internet services, online games and related businesses.</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August 29, 2008, SAFE promulgated the Circular on the Relevant Operating Issues Concerning the Improvement of the Administration of the Payment and Settlement of Foreign Currency Capital of Foreign-Invested Enterprises, or SAFE Circular 142, regulating the conversion by a foreign-invested enterprise of foreign currency registered capital into Renminbi by restricting how the converted Renminbi may be used. SAFE Circular 142 provides that Renminbi capital converted from foreign currency registered capital of a foreign-invested enterprise may only be used for purposes within the business scope approved by the applicable governmental authority and may not be used for equity investments within the PRC. In addition, SAFE strengthened its oversight of the flow and use of the Renminbi capital converted from the foreign currency registered capital of a foreign-invested company. The use of such Renminbi capital may not be altered without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SAFE approval, and such Renminbi capital may not in any case be used to repay Renminbi loans if the proceeds of such loans have not been used. Violations of SAFE Circular 142 could result in severe monetary or other penalties. Furthermore, SAFE promulgated a circular on November 9, 2010, known as Circular No. 59, which tightens the examination of the authenticity of settlement of net proceeds from our initial public offering. SAFE further promulgated the Circular on Further Clarification and Regulation of the Issues Concerning the Administration of Certain Capital Account Foreign Exchange Businesses, or Circular 45, on November 9, 2011, which expressly prohibits foreign-invested enterprises from using registered capital settled in Renminbi converted from foreign currencies to grant loans through entrustment arrangements with a bank, repay inter-company loans or repay bank loans that have been transferred to a third party. Circular 142, Circular 59 and Circular 45 may significantly limit our ability to transfer the net proceeds from this offering to our PRC subsidiary and to convert such proceeds into Renminbi, which may adversely affect our liquidity and our ability to fund and expand our business in the PRC.</w:t>
      </w:r>
    </w:p>
    <w:p>
      <w:pPr>
        <w:spacing w:after="0" w:line="16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light of the various requirements imposed by PRC regulations on loans to and direct investment in PRC entities by offshore holding companies, including SAFE Circular 142, we cannot assure you that we will be able to complete the necessary government registrations or obtain the necessary government approvals on a timely basis, if at all, with respect to future loans by us to our PRC subsidiary or with respect to future capital contributions by us to our PRC subsidiary. If we fail to complete such registrations or obtain such approvals, our ability to use the proceeds we received from our initial public offering and to capitalize or otherwise fund our PRC operations may be negatively affected, which could materially and adversely affect our liquidity and our ability to fund and expand our business.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Fluctuation in the value of the RMB may have a material adverse effect on the value of your investment.</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value of the RMB against the U.S. dollar and other currencies is affected by changes in China’s political and economic conditions and China’s foreign exchange policies, among other things. On July 21, 2005, the PRC government changed its decades-old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The PRC government has allowed the RMB to appreciate slowly against the U.S. dollar again, and it has appreciated more than 10% since June 2010, though there also have been periods when it depreciated against the U.S. dollar. It is difficult to predict how market forces or PRC or U.S. government policy may impact the exchange rate between the RMB and the U.S. dollar in the future. In addition, there remains significant international pressure on the PRC government to adopt a substantial liberalization of its currency policy, which could result in further appreciation in the value of the RMB against the U.S. dollar.</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revenues and costs are mostly denominated in RMB, whereas our reporting currency is the U.S. dollar. Any significant depreciation of the RMB may materially and adversely affect our revenues, earnings and financial position as reported in U.S. dollars. To the extent that we need to convert U.S. dollars we received from this offering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30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Our leased property interests may be defective and our right to lease the properties affected by such defects may be challenged, which could cause significant disruption to our business.</w:t>
      </w:r>
    </w:p>
    <w:p>
      <w:pPr>
        <w:spacing w:after="0" w:line="62"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Under PRC laws, all lease agreements are required to be registered with the local housing authorities. We presently lease three premises in China, and the landlords of these premises have not completed the registration of their ownership rights or the registration of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you are deprived of the benefits of such inspection.</w:t>
      </w:r>
    </w:p>
    <w:p>
      <w:pPr>
        <w:spacing w:after="0" w:line="62"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independent registered public accounting firm that issues the audit reports included in our prospectus filed with the US Securities and Exchange Commission, as auditors of companies that are traded publicly in the United States and a firm registered with the US Public Company Accounting Oversight Board (United States) (“the “PCAOB”), is required by the laws of the United States to undergo regular inspections by the PCAOB to assess its compliance with the laws of the United States and professional standards. Because our auditors are located in the Peoples’ Republic of China, a jurisdiction where the PCAOB is currently unable to conduct inspections without the approval of the Chinese authorities, our auditors are not currently inspected by the PCAOB.</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28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b w:val="1"/>
          <w:bCs w:val="1"/>
          <w:i w:val="1"/>
          <w:iCs w:val="1"/>
          <w:color w:val="auto"/>
        </w:rPr>
        <w:t>Proceedings instituted by the SEC against five PRC-based accounting firms, including our independent registered public accounting firm, could result in financial statements being determined to not be in compliance with the requirements of the Securities Exchange Act of 1934, as amended, or the Exchange Act.</w:t>
      </w:r>
    </w:p>
    <w:p>
      <w:pPr>
        <w:spacing w:after="0" w:line="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late 2012, the SEC commenced administrative proceedings under Rule 102(e) of its Rules of Practice and also under the Sarbanes-Oxley Act of 2002 against the Chinese affiliates of the ‘‘big four’’ accounting firms (including our auditors) and also against Dahua (the former BDO affiliate in China). The Rule 102(e) proceedings initiated by the SEC relate to these firms’ inability to produce documents, including audit work papers, in response to the request of the SEC pursuant to Section 106 of the Sarbanes-Oxley Act of 2002, as the auditors located in the PRC are not in a position lawfully to produce documents directly to the SEC because of restrictions under PRC law and specific directives issued by the China Securities Regulatory Commission. The issues raised by the proceedings are not specific to our auditors or to us, but affect equally all audit firms based in China and all China-based businesses with securities listed in the United States.</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January 2014, the administrative judge reached an Initial Decision that the “big four” accounting firms should be barred from practicing before the Commission for six months. However, it is currently impossible to determine the ultimate outcome of this matter as the accounting firms have filed a Petition for Review of the Initial Decision and pending that review the effect of the Initial Decision is suspended. The SEC Commissioners will review the Initial Decision, determine whether there has been any violation and, if so, determine the appropriate remedy to be placed on these audit firms. Once such an order was made, the accounting firms would have a further right to appeal to the US Federal courts, and the effect of the order might be further stayed pending the outcome of that appeal.</w:t>
      </w:r>
    </w:p>
    <w:p>
      <w:pPr>
        <w:spacing w:after="0" w:line="193"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the proceedings against these audit firms may cause investor uncertainty regarding China-based, United States-listed companies and the market price of our ADSs may be adversely affected.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Class A ordinary shares or our ADSs may not develop and the trading price for our ADSs may fluctuate significantly.</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ADSs have been approved for listing on the NASDAQ Global Select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was determined by negotiation between us and the underwriters based upon several factors, and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trading price of our ADSs is likely to be volatile, which could result in substantial losses to investors.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trading price of our ADSs is likely to be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8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to market and industry factors, the price and trading volume for our ADSs may be highly volatile for factors specific to our own operations, including the following:</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revenues, earnings, cash flow and data related to our user base or user engagement;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products, services and expansions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There will be 16,000,000 ADSs (equivalent to 32,000,000 Class A ordinary shares) outstanding immediately after this offering, or 18,400,000 ADSs (equivalent to 36,800,000 Class A ordinary shares) if the underwriters exercise their option to purchase additional ADSs in full. In connection with this offering, we and our officers, directors, existing shareholders, certain option holders and the Concurrent Private Placement investors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288" w:lineRule="exact"/>
        <w:rPr>
          <w:sz w:val="20"/>
          <w:szCs w:val="20"/>
          <w:color w:val="auto"/>
        </w:rPr>
      </w:pPr>
    </w:p>
    <w:p>
      <w:pPr>
        <w:jc w:val="both"/>
        <w:ind w:right="140" w:firstLine="456"/>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Substantial future sales or the expectation of substantial sales of our ADSs in the public market could cause the price of our ADSs to decline.</w:t>
      </w:r>
    </w:p>
    <w:p>
      <w:pPr>
        <w:spacing w:after="0" w:line="14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Sales of our ADSs in the public market after this offering, or the perception that these sales could occur, could cause the market price of our ADSs to decline. Upon completion of this offering, we will have 372,956,110 ordinary shares outstanding, including 16,000,000 Class A ordinary shares represented by ADSs and 96,886,370 Class B ordinary shares, assuming the underwriters do not exercise their over-allotment option to purchase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additional ADSs. All ADSs sold in this offering will be freely transferable without restriction or additional registration under the U.S. Securities Act of 1933, as amended, or the Securities Act. The remaining Class A ordinary shares and all the Class B ordinary shares outstanding after this offering will be available for sale in the form of ADSs upon the expiration of the 180-day lock-up period beginning from the date of this prospectus, subject to volume and other restrictions as applicable under Rule 144 and Rule 701 under the Securities Act. Any or all of these shares may be released prior to expiration of the lock-up period at the discretion of the underwriters. To the extent shares are released before the expiration of the lock-up period and these shares are sold into the market, the market price of our ADSs could decline.</w:t>
      </w:r>
    </w:p>
    <w:p>
      <w:pPr>
        <w:spacing w:after="0" w:line="30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b w:val="1"/>
          <w:bCs w:val="1"/>
          <w:i w:val="1"/>
          <w:iCs w:val="1"/>
          <w:color w:val="auto"/>
        </w:rPr>
        <w:t>Mr. Yan Tang, our co-founder, chairman and chief executive officer, has considerable influence over important corporate matters. Our dual-class voting structure will limit your ability to influence corporate matters and could discourage others from pursuing any change of control transactions that holders of our Class A ordinary shares and ADSs may view as beneficial.</w:t>
      </w:r>
    </w:p>
    <w:p>
      <w:pPr>
        <w:spacing w:after="0" w:line="7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Mr. Yan Tang, our co-founder, chairman and chief executive officer, has considerable influence over important corporate matters. As of the date of this prospectus, Mr. Tang beneficially owns a total of 76.6% of the aggregate voting power of our company, including (i) 56.5% of the aggregate voting power of our company through Gallant Future Holdings Limited, a company 100% beneficially owned by Mr. Tang through a family trust, and (ii) 20.1% of the aggregate voting power of our company underlying the total ordinary shares held by the BVI companies 100% beneficially owned by the other three co-founders, including Mr. Yong Li, Mr. Xiaoliang Lei and Mr. Zhiwei Li, with respect to which the three co-founders have respectively granted Mr. Tang an irrevocable proxy to vote all those shares. The aforementioned shareholder proxies will terminate immediately upon the completion of this offering.</w:t>
      </w:r>
    </w:p>
    <w:p>
      <w:pPr>
        <w:spacing w:after="0" w:line="165"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After this offering, Mr. Tang will continue to have considerable influence over matters requiring shareholder approval. Immediately prior to the completion of this offering, we expect to create a dual-class voting structure such that our ordinary shares will consist of Class A ordinary shares and Class B ordinary shares. Based on our proposed dual-class voting structure, holders of Class A ordinary shares will be entitled to one vote per share in respect of matters requiring the votes of shareholders, while holders of Class B ordinary shares will be entitled to ten votes per share. We will issue Class A ordinary shares represented by our ADSs in this offering. Immediately prior to the completion of this offering, we expect that an aggregate of 96,886,370 ordinary shares held by Gallant Future Holdings Limited will be automatically re-designated as Class B ordinary shares on a one-for-one basis, and all preferred shares and all other outstanding ordinary shares will be re-designated as Class A ordinary shares on a one-for-one basis. Each Class B ordinary share is convertible into one Class A ordinary share at any time by the holder thereof, while Class A ordinary shares are not convertible into Class B ordinary shares under any circumstances. Due to the disparate voting powers associated with our two classes of ordinary shares, we anticipate that Mr. Tang will beneficially own 78.0% of the aggregate voting power of our company immediately after the completion of this offering, assuming (i) the underwriters do not exercise their over-allotment option to purchase additional ADSs and (ii) we will issue and sell a total of 8,888,888 Class A ordinary shares through the Concurrent Private Placement, which number of shares has been calculated based on an assumed initial public offering price of US$13.50 per ADS, the midpoint of the estimated offering price range shown on the front cover page of this prospectus. As a result, Mr. Tang will have considerable influence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w:t>
      </w:r>
    </w:p>
    <w:p>
      <w:pPr>
        <w:spacing w:after="0" w:line="30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Because the initial public offering price is substantially higher than the pro forma net tangible book value per share, you will experience immediate and substantial dilution.</w:t>
      </w:r>
    </w:p>
    <w:p>
      <w:pPr>
        <w:spacing w:after="0" w:line="6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you purchase ADSs in this offering, you will pay more for each ADS than the corresponding amount paid by existing shareholders for their ordinary shares. As a result, you will experience immediate and substantial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dilution of US$11.30 per ADS (assuming that no outstanding options to acquire ordinary shares are exercised). This number represents the difference between the assumed initial public offering price of US$13.50 per ADS, the midpoint of the estimated range of the offering price, and our pro forma as adjusted net tangible book value per ADS of US$2.20 as of September 30, 2014, after giving effect to this offering and the Concurrent Private Placement, at the assumed initial public offering price of US$13.50 per ADS, the midpoint of the estimated offering price range shown on the front cover page of this prospectus. See “Dilution” for a more complete description of how the value of your investment in our ADSs will be diluted upon the completion of this offering.</w:t>
      </w:r>
    </w:p>
    <w:p>
      <w:pPr>
        <w:spacing w:after="0" w:line="26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the Concurrent Private Placement, and we may use these proceeds in ways with which you may not agree.</w:t>
      </w:r>
    </w:p>
    <w:p>
      <w:pPr>
        <w:spacing w:after="0" w:line="6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not determined a specific use for a portion of the net proceeds of this offering and the Concurrent Private Placement,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and the Concurrent Private Placement. We cannot assure you that the net proceeds will be used in a manner that would improve our results of operations or increase our ADS price, nor that these net proceeds will be placed only in investments that generate income or appreciate in value.</w:t>
      </w:r>
    </w:p>
    <w:p>
      <w:pPr>
        <w:spacing w:after="0" w:line="266"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under U.S. tax law, which could result in adverse U.S. federal income tax consequences to U.S. holders of our ADSs.</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Depending upon the value of our assets, which is determined based on the market value of our ADSs, and the nature of our assets and income over time, we could be classified as a passive foreign investment company, or PFIC, for U.S. federal income tax purposes. Based on our current income and assets and projections as to the value of our ADSs pursuant to this offering, we do not expect to be classified as a PFIC for the current taxable year or in the foreseeable future. While we do not anticipate becoming a PFIC for the current taxable year, fluctuations in the market price of our ADSs may cause us to become a PFIC for the current or any subsequent taxable year.</w:t>
      </w:r>
    </w:p>
    <w:p>
      <w:pPr>
        <w:spacing w:after="0" w:line="18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will be classified as a PFIC for any taxable year if either (i) 75% or more of our gross income for the taxable year is passive income or (ii) 50% or more of the value of our assets (determined on the basis of a quarterly average) is attributable to assets that produce or are held for the production of passive income. Although the law in this regard is unclear, we treat Beijing Momo as being owned by us for U.S. federal income tax purposes, not only because we exercise effective control over the operation of this entity but also because we are entitled to substantially all of its economic benefits, and, as a result, we consolidate its results of operations in our consolidated U.S. GAAP financial statements. If it were determined, however, that we are not the owner of Beijing Momo for U.S. federal income tax purposes, we would likely be treated as a PFIC for our current taxable year and any subsequent taxable year. Because of the uncertainties in the application of the relevant rules and PFIC status is a factual determination made annually after the close of each taxable year on the basis of the composition of our income and the value of our active versus passive assets, there can be no assurance that we will not be a PFIC for current the taxable year or any future taxable year. The overall level of our passive assets will be affected by how, and how quickly, we spend our liquid assets and the cash raised in this offering. Under circumstances where we determine not to deploy significant amounts of cash for active purposes, our risk of becoming classified as a PFIC may substantially increase.</w:t>
      </w:r>
    </w:p>
    <w:p>
      <w:pPr>
        <w:spacing w:after="0" w:line="1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were to be or become classified as a PFIC, a U.S. Holder (as defined in “Taxation—Material United States Federal Income Tax Considerations— General”) will generally be subject to reporting requirements and may incur significantly increased U.S. federal income tax on gain recognized on the sale or other disposition of the ADSs or ordinary shares and on the receipt of distributions on the ADSs or ordinary shares to the extent such gain or distribution is treated as an “excess distribution” under the U.S. federal income tax rules. Further, if we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were a PFIC for any year during which a U.S. Holder held our ADSs or ordinary shares, we generally would continue to be treated as a PFIC for all succeeding years during which such U.S. Holder held our ADSs or ordinary shares. You are urged to consult your tax advisor concerning the U.S. federal income tax consequences of acquiring, holding, and disposing of ADSs or ordinary shares if we are or become classified as a PFIC. For more information see “Taxation—United States Federal Income Tax Considerations—Passive Foreign Investment Company Considerations.”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M&amp;A Rules, which were adopted in 2006 by six PRC regulatory agencies, including the CSRC,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and this offering may ultimately require approval from the CSRC. If CSRC approval is required, it is uncertain how long it will take us to obtain the approval and any failure to obtain or delay in obtaining CSRC approval for this offering would subject us to sanctions imposed by the CSRC and other PRC regulatory agencies, which could include fines and penalties on our operations in China, restrictions or limitations on our ability to pay dividends outside of China, and other forms of sanctions that may materially and adversely affect our business, results of operations and financial condition.</w:t>
      </w:r>
    </w:p>
    <w:p>
      <w:pPr>
        <w:spacing w:after="0" w:line="17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PRC counsel, Han Kun Law Offices, has advised us that, based on its understanding of the current PRC laws and regulations, we are not required to submit an application to the CSRC for the approval of the listing and trading of our ADSs on the NASDAQ Global Select Market because (i) the CSRC currently has not issued any definitive rule or interpretation concerning whether offerings like ours under this prospectus are subject to this regulation, and</w:t>
      </w:r>
    </w:p>
    <w:p>
      <w:pPr>
        <w:ind w:firstLine="8"/>
        <w:spacing w:after="0" w:line="267" w:lineRule="auto"/>
        <w:tabs>
          <w:tab w:leader="none" w:pos="2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wholly owned PRC subsidiary was established by foreign direct investment, rather than through a merger or acquisition of a domestic company as defined under the M&amp;A Rules. However, we cannot assure you that relevant PRC government agencies, including the CSRC, would reach the same conclusion as our PRC counsel, and hence we may face regulatory actions or other sanctions from the CSRC or other PRC regulatory agencies. These regulatory agencies may impose fines and penalties on our operations in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9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 material adverse effect on the rights of holders of our Class A ordinary shares and ADSs.</w:t>
      </w:r>
    </w:p>
    <w:p>
      <w:pPr>
        <w:spacing w:after="0" w:line="62"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have adopted amended and restated memorandum and articles of association that will become effective immediately upon completion of this offering. Our new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proposed dual-class voting structure gives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disproportionate voting power to the Class B ordinary shares to be held by Gallant Future Holdings Limited, a company 100% beneficially owned by Yan Tang, our co-founder, chairman and chief executive officer. We anticipate that Mr. Tang will beneficially own 78.0% of the aggregate voting power of our company immediately following the completion of this offering assuming (i) the underwriters do not exercise their over-allotment option to purchase additional ADSs and (ii) we will issue and sell a total of 8,888,888 Class A ordinary shares through the Concurrent Private Placement, which number of shares has been calculated based on an assumed initial public offering price of US$13.50 per ADS, the midpoint of the estimated offering price range shown on the front cover page of this prospectus. In addition,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an exempted company limited by shares registered under the laws of the Cayman Islands. Our corporate affairs are governed by our memorandum and articles of association, the Companies Law (2013 Revision)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Certain corporate governance practices in the Cayman Islands, which is our home country, differ significantly from requirements for companies incorporated in other jurisdictions such as the U.S.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spacing w:after="0" w:line="18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differences between the provisions of the Companies Law of the Cayman Islands and the laws applicable to companies incorporated in the United States and their shareholders, see “Description of Share Capital—Differences in Corporate Law.”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Cayman Islands company and all of our assets are located outside of the United States. Substantially all of our current operations are conducted in China.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are an emerging growth company within the meaning of the Securities Act and may take advantage of certain reduced reporting requirements.</w:t>
      </w:r>
    </w:p>
    <w:p>
      <w:pPr>
        <w:spacing w:after="0" w:line="15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until the fifth anniversary from the date of our initial listing.</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9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1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of quarterly reports on Form 10-Q or current reports on Form 8-K with the SEC;</w:t>
      </w:r>
    </w:p>
    <w:p>
      <w:pPr>
        <w:spacing w:after="0" w:line="142" w:lineRule="exact"/>
        <w:rPr>
          <w:rFonts w:ascii="Arial" w:cs="Arial" w:eastAsia="Arial" w:hAnsi="Arial"/>
          <w:sz w:val="17"/>
          <w:szCs w:val="17"/>
          <w:color w:val="auto"/>
        </w:rPr>
      </w:pPr>
    </w:p>
    <w:p>
      <w:pPr>
        <w:ind w:left="900" w:right="3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intend to publish our results on a quarterly basis through press releases, distributed pursuant to the rules and regulations of the NASDAQ Global Select Market. Press releases relating to financial results and material events will also be furnished to the SEC on Form 6-K. However, the information we are required to file with or furnish to</w:t>
      </w:r>
    </w:p>
    <w:p>
      <w:pPr>
        <w:ind w:right="500"/>
        <w:spacing w:after="0" w:line="290" w:lineRule="auto"/>
        <w:rPr>
          <w:sz w:val="20"/>
          <w:szCs w:val="20"/>
          <w:color w:val="auto"/>
        </w:rPr>
      </w:pPr>
      <w:r>
        <w:rPr>
          <w:rFonts w:ascii="Arial" w:cs="Arial" w:eastAsia="Arial" w:hAnsi="Arial"/>
          <w:sz w:val="17"/>
          <w:szCs w:val="17"/>
          <w:color w:val="auto"/>
        </w:rPr>
        <w:t>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Upon receipt of your voting instructions, the depositary will vote the underlying Class A ordinary shares in accordance with these instructions. You will not be able to directly exercise your right to vote with respect to the underlying shares unless you withdraw the shares. Under our amended and restated memorandum and articles of association that will become effective immediately upon completion of this offering, the minimum notice period required for convening a general meeting is 14 days.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9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6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Under the deposit agreement for the ADSs, if you do not vote, the depositary will give us a discretionary proxy to vote our Class A ordinary shares underlying your ADSs at shareholders’ meetings unless:</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notice of meeting and related voting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effect of this discretionary proxy is that if you do not vote at shareholders’ meetings, you cannot prevent our Class A ordinary shares underlying your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28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rights or other securities received through such distributions. We also have no obligation to take any other action to permit the distribution of ADSs,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 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conditions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growth of mobile social networking platforms, mobile games and mobile marketing services in China;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regarding our user base and level of user engagement;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plans to invest in our technology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in our industry;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 —Our Challenges,” “Risk Factors,” “Management’s Discussion and Analysis of Financial Condition and Results of Operations,” “Business,” “Regulation” and other sections in this prospectus. You should thoroughly read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This prospectus contains certain data and information that we obtained from various government and private publications. Statistical data in these publications also include projections based on a number of assumptions. The social networking platforms, mobile games and mobile marketing industries may not grow at the rate projected by market data, or at all. Failure of this market to grow at the projected rate may have a material and adverse effect on our business and the market price of our ADSs. In addition, the rapidly changing nature of the mobile social services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7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that we will receive net proceeds from this offering and the Concurrent Private Placement of approximately US$256.5 million, or approximately US$286.7 million if the underwriters exercise their over-allotment option in full, after deducting underwriting discounts and the estimated offering expenses payable by us. These estimates are based upon an assumed initial public offering price of US$13.50 per ADS, the midpoint of the price range shown on the front cover page of this prospectus. A US$1.00 increase (decrease) in the assumed initial public offering price of US$13.50 per ADS would increase (decrease) the net proceeds to us from this offering by US$14.9 million, assuming the underwriters do not exercise their over-allotment option to purchase additional ADSs and the number of ADSs offered by us, as set forth on the cover page of this prospectus, remains the same and after deducting the estimated underwriting discounts and commissions and estimated expenses payable by us.</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and the Concurrent Private Placement as follows:</w:t>
      </w:r>
    </w:p>
    <w:p>
      <w:pPr>
        <w:spacing w:after="0" w:line="8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US$80.0 million for research and development activities, including enhancing our technology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US$100.0 million for sales and marketing activities; and</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balance for capital expenditures and other general and administrative matters, which may include, among others, acquisitions of, or investments in, technologies, solutions or businesses that complement our business, although we have no present commitments or agreements to enter into any acquisitions or investments.</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and the Concurrent Private Placement. If an unforeseen event occurs or business conditions change, we may use the proceeds of this offering and the Concurrent Private Placement differently than as described in this prospectus. See “Risk Factors—Risks Related to Our ADSs and This Offering—We have not determined a specific use for a portion of the net proceeds from this offering and the Concurrent Private Placement, and we may use these proceeds in ways with which you may not agree.”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Pending any use described above, we plan to invest the net proceeds in short-term, interest-bearing, debt instruments or demand deposits.</w:t>
      </w:r>
    </w:p>
    <w:p>
      <w:pPr>
        <w:spacing w:after="0" w:line="23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using the proceeds of this offering and the Concurrent Private Placement, we are permitted under PRC laws and regulations as an offshore holding company to provide funding to our PRC subsidiary only through loans or capital contributions and to Beijing Momo only through loans. Subject to satisfaction of applicable government registration and approval requirements, we may extend inter-company loans to our PRC subsidiary or make additional capital contributions to our PRC subsidiary to fund their capital expenditures or working capital. We cannot assure you that we will be able to obtain these government registrations or approvals on a timely basis, if at all, which may delay or prevent us from providing the proceeds of this offering and the Concurrent Private Placement to our PRC subsidiaries. See “Risk Factors—Risks Relating to Doing Business in China—PRC regulation of loans to, and direct investment in, PRC entities by offshore holding companies and governmental control of currency conversion may restrict or prevent us from using the proceeds of our initial public offering to make loans to our PRC subsidiary and consolidated affiliated entity and its subsidiary, or to make additional capital contributions to our PRC subsidiary.”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discretion on whether to distribute dividends, subject to certain restrictions under Cayman Islands law, namely that our company may only pay dividends out of profits or share premium, and provided always that it is 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54"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With shareholders’ approval, we declared a special dividend to certain holders of our ordinary shares in the amount of US$64.5 million in April 2014, among which US$58.0 million was paid. The special dividend was paid out of our share premium. See “Description of Share Capital—History of Securities Issuances—Preferred Shares.” 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We are a holding company incorporated in the Cayman Islands. We may rely on dividends from our subsidiary in China for our cash requirements, including any payment of dividends to our shareholders. PRC regulations may restrict the ability of our PRC subsidiary to pay dividends to us. See “Regulation—Regulations Relating to Dividend Distribution” and “Regulation—Regulations Relating to Taxation.”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we pay any dividends, we will pay our ADS holders to the same extent as holders of our ordinary shares, subject to the terms of the deposit agreement, including the fees and expenses payable thereunder. See “Description of American Depositary Shares.” Cash dividends on our Class A ordinary shares, if any, will be paid in U.S. dollars.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2014:</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 pro forma basis to reflect (i) the automatic re-designation of 96,886,370 ordinary shares held by Gallant Future Holdings Limited into Class B ordinary shares on a one-for-one basis immediately prior to the completion of this offering and (ii) the automatic re-designation of all of our remaining ordinary shares and the automatic conversion and re-designation of all of our Series A-1, Series A-2, Series A-3, Series B, Series C and Series D convertible redeemable preferred shares that are issued and outstanding into 235,180,852 Class A ordinary shares on a one-for-one basis immediately upon the completion of this offering.</w:t>
      </w:r>
    </w:p>
    <w:p>
      <w:pPr>
        <w:spacing w:after="0" w:line="93" w:lineRule="exact"/>
        <w:rPr>
          <w:rFonts w:ascii="Arial" w:cs="Arial" w:eastAsia="Arial" w:hAnsi="Arial"/>
          <w:sz w:val="18"/>
          <w:szCs w:val="18"/>
          <w:color w:val="auto"/>
        </w:rPr>
      </w:pPr>
    </w:p>
    <w:p>
      <w:pPr>
        <w:ind w:left="900" w:hanging="325"/>
        <w:spacing w:after="0" w:line="270"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 pro forma as adjusted basis to reflect (i) the automatic re-designation of 96,886,370 ordinary shares held by Gallant Future Holdings Limited into Class B ordinary shares on a one-for-one basis immediately prior to the completion of this offering, (ii) the automatic re-designation of all of our remaining ordinary shares and the automatic conversion and re-designation of all of our Series A-1, Series A-2, Series A-3, Series B, Series C and Series D convertible redeemable preferred shares that are issued and outstanding into 235,180,852 Class A ordinary shares on a one-for-one basis immediately upon completion of this offering; (iii) the sale of 32,000,000 Class A ordinary shares in the form of ADSs by us in this offering at an assumed initial public offering price of US$13.50 per ADS, the 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 and (iv) the issuance and sale of 8,888,888 Class A ordinary shares through the Concurrent Private Placement, calculated based on the midpoint of the estimated offering price range shown on the front cover page of this prospectus, with net proceeds of US$60.0 million to us.</w:t>
      </w:r>
    </w:p>
    <w:p>
      <w:pPr>
        <w:spacing w:after="0" w:line="17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3"/>
              </w:rPr>
              <w:t>As of September 30, 2014</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920" w:type="dxa"/>
            <w:vAlign w:val="bottom"/>
          </w:tcPr>
          <w:p>
            <w:pPr>
              <w:spacing w:after="0"/>
              <w:rPr>
                <w:sz w:val="10"/>
                <w:szCs w:val="10"/>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Actual</w:t>
            </w:r>
          </w:p>
        </w:tc>
        <w:tc>
          <w:tcPr>
            <w:tcW w:w="1740" w:type="dxa"/>
            <w:vAlign w:val="bottom"/>
          </w:tcPr>
          <w:p>
            <w:pPr>
              <w:ind w:left="500"/>
              <w:spacing w:after="0" w:line="119" w:lineRule="exact"/>
              <w:rPr>
                <w:sz w:val="20"/>
                <w:szCs w:val="20"/>
                <w:color w:val="auto"/>
              </w:rPr>
            </w:pPr>
            <w:r>
              <w:rPr>
                <w:rFonts w:ascii="Arial" w:cs="Arial" w:eastAsia="Arial" w:hAnsi="Arial"/>
                <w:sz w:val="13"/>
                <w:szCs w:val="13"/>
                <w:b w:val="1"/>
                <w:bCs w:val="1"/>
                <w:color w:val="auto"/>
              </w:rPr>
              <w:t>Unaudited</w:t>
            </w:r>
          </w:p>
        </w:tc>
        <w:tc>
          <w:tcPr>
            <w:tcW w:w="88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740" w:type="dxa"/>
            <w:vAlign w:val="bottom"/>
          </w:tcPr>
          <w:p>
            <w:pPr>
              <w:ind w:left="480"/>
              <w:spacing w:after="0"/>
              <w:rPr>
                <w:sz w:val="20"/>
                <w:szCs w:val="20"/>
                <w:color w:val="auto"/>
              </w:rPr>
            </w:pPr>
            <w:r>
              <w:rPr>
                <w:rFonts w:ascii="Arial" w:cs="Arial" w:eastAsia="Arial" w:hAnsi="Arial"/>
                <w:sz w:val="14"/>
                <w:szCs w:val="14"/>
                <w:b w:val="1"/>
                <w:bCs w:val="1"/>
                <w:color w:val="auto"/>
              </w:rPr>
              <w:t>Pro Forma</w:t>
            </w: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(in US$ thousands)</w:t>
            </w: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20" w:type="dxa"/>
            <w:vAlign w:val="bottom"/>
          </w:tcPr>
          <w:p>
            <w:pPr>
              <w:ind w:left="360"/>
              <w:spacing w:after="0" w:line="201" w:lineRule="exact"/>
              <w:rPr>
                <w:sz w:val="20"/>
                <w:szCs w:val="20"/>
                <w:color w:val="auto"/>
              </w:rPr>
            </w:pPr>
            <w:r>
              <w:rPr>
                <w:rFonts w:ascii="Arial" w:cs="Arial" w:eastAsia="Arial" w:hAnsi="Arial"/>
                <w:sz w:val="18"/>
                <w:szCs w:val="18"/>
                <w:color w:val="auto"/>
              </w:rPr>
              <w:t>Series A-1 and Series A-2 convertible redeemable participating preferred shares ($0.0001 par</w:t>
            </w: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40"/>
              <w:spacing w:after="0"/>
              <w:rPr>
                <w:sz w:val="20"/>
                <w:szCs w:val="20"/>
                <w:color w:val="auto"/>
              </w:rPr>
            </w:pPr>
            <w:r>
              <w:rPr>
                <w:rFonts w:ascii="Arial" w:cs="Arial" w:eastAsia="Arial" w:hAnsi="Arial"/>
                <w:sz w:val="18"/>
                <w:szCs w:val="18"/>
                <w:color w:val="auto"/>
              </w:rPr>
              <w:t>value; 31,181,820 shares authorized, issued and outstanding)</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2,235</w:t>
            </w:r>
          </w:p>
        </w:tc>
        <w:tc>
          <w:tcPr>
            <w:tcW w:w="1740" w:type="dxa"/>
            <w:vAlign w:val="bottom"/>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Series A-3 convertible redeemable participating preferred shares ($0.0001 par value; 19,797,980</w:t>
            </w:r>
          </w:p>
        </w:tc>
        <w:tc>
          <w:tcPr>
            <w:tcW w:w="7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authorized, issued and outstanding)</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5,192</w:t>
            </w:r>
          </w:p>
        </w:tc>
        <w:tc>
          <w:tcPr>
            <w:tcW w:w="1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2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B convertible redeemable participating preferred shares ($0.0001 par value; 70,037,013</w:t>
            </w: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40"/>
              <w:spacing w:after="0"/>
              <w:rPr>
                <w:sz w:val="20"/>
                <w:szCs w:val="20"/>
                <w:color w:val="auto"/>
              </w:rPr>
            </w:pPr>
            <w:r>
              <w:rPr>
                <w:rFonts w:ascii="Arial" w:cs="Arial" w:eastAsia="Arial" w:hAnsi="Arial"/>
                <w:sz w:val="18"/>
                <w:szCs w:val="18"/>
                <w:color w:val="auto"/>
              </w:rPr>
              <w:t>shares authorized, issued and outstanding)</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29,285</w:t>
            </w:r>
          </w:p>
        </w:tc>
        <w:tc>
          <w:tcPr>
            <w:tcW w:w="1740" w:type="dxa"/>
            <w:vAlign w:val="bottom"/>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C convertible redeemable participating preferred shares ($0.0001 par value; 36,008,642</w:t>
            </w:r>
          </w:p>
        </w:tc>
        <w:tc>
          <w:tcPr>
            <w:tcW w:w="7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authorized, issued and outstanding)</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50,693</w:t>
            </w:r>
          </w:p>
        </w:tc>
        <w:tc>
          <w:tcPr>
            <w:tcW w:w="1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2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D convertible redeemable participating preferred shares ($0.0001 par value; 43,693,356</w:t>
            </w: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40"/>
              <w:spacing w:after="0"/>
              <w:rPr>
                <w:sz w:val="20"/>
                <w:szCs w:val="20"/>
                <w:color w:val="auto"/>
              </w:rPr>
            </w:pPr>
            <w:r>
              <w:rPr>
                <w:rFonts w:ascii="Arial" w:cs="Arial" w:eastAsia="Arial" w:hAnsi="Arial"/>
                <w:sz w:val="18"/>
                <w:szCs w:val="18"/>
                <w:color w:val="auto"/>
              </w:rPr>
              <w:t>shares authorized, issued and outstanding)</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8"/>
              </w:rPr>
              <w:t>223,309</w:t>
            </w:r>
          </w:p>
        </w:tc>
        <w:tc>
          <w:tcPr>
            <w:tcW w:w="1740" w:type="dxa"/>
            <w:vAlign w:val="bottom"/>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920" w:type="dxa"/>
            <w:vAlign w:val="bottom"/>
          </w:tcPr>
          <w:p>
            <w:pPr>
              <w:ind w:left="5620"/>
              <w:spacing w:after="0"/>
              <w:rPr>
                <w:sz w:val="20"/>
                <w:szCs w:val="20"/>
                <w:color w:val="auto"/>
              </w:rPr>
            </w:pPr>
            <w:r>
              <w:rPr>
                <w:rFonts w:ascii="Arial" w:cs="Arial" w:eastAsia="Arial" w:hAnsi="Arial"/>
                <w:sz w:val="18"/>
                <w:szCs w:val="18"/>
                <w:color w:val="auto"/>
              </w:rPr>
              <w:t>50</w:t>
            </w: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0"/>
              </w:rPr>
              <w:t>As of September 30,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3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Unaudited</w:t>
            </w: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Pro Forma</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(in US$ thousands)</w:t>
            </w: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340"/>
              <w:spacing w:after="0" w:line="201" w:lineRule="exact"/>
              <w:rPr>
                <w:sz w:val="20"/>
                <w:szCs w:val="20"/>
                <w:color w:val="auto"/>
              </w:rPr>
            </w:pPr>
            <w:r>
              <w:rPr>
                <w:rFonts w:ascii="Arial" w:cs="Arial" w:eastAsia="Arial" w:hAnsi="Arial"/>
                <w:sz w:val="18"/>
                <w:szCs w:val="18"/>
                <w:color w:val="auto"/>
                <w:w w:val="96"/>
              </w:rPr>
              <w:t>Ordinary shares ($0.0001 par value; 799,281,189 shares authorized, 131,348,411 shares issued and</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rPr>
              <w:t>outstanding on an actual basis, 235,180,852 Class A ordinary shares and 96,886,370 Class B</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w w:val="98"/>
              </w:rPr>
              <w:t>ordinary shares outstanding on a pro-forma basis, and 276,069,740 Class A ordinary shares and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rPr>
              <w:t>96,886,370 Class B ordinary shares outstanding on a pro-forma as adjusted basis)</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35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(64,494)</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(64,494)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(1)</w:t>
            </w:r>
          </w:p>
        </w:tc>
        <w:tc>
          <w:tcPr>
            <w:tcW w:w="740" w:type="dxa"/>
            <w:vAlign w:val="bottom"/>
          </w:tcPr>
          <w:p>
            <w:pPr>
              <w:jc w:val="right"/>
              <w:spacing w:after="0"/>
              <w:rPr>
                <w:sz w:val="20"/>
                <w:szCs w:val="20"/>
                <w:color w:val="auto"/>
              </w:rPr>
            </w:pPr>
            <w:r>
              <w:rPr>
                <w:rFonts w:ascii="Arial" w:cs="Arial" w:eastAsia="Arial" w:hAnsi="Arial"/>
                <w:sz w:val="18"/>
                <w:szCs w:val="18"/>
                <w:color w:val="auto"/>
              </w:rPr>
              <w:t>5,919</w:t>
            </w:r>
          </w:p>
        </w:tc>
        <w:tc>
          <w:tcPr>
            <w:tcW w:w="8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316,613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(97,282)</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(97,282)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(140)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(deficit)</w:t>
            </w:r>
            <w:r>
              <w:rPr>
                <w:rFonts w:ascii="Arial" w:cs="Arial" w:eastAsia="Arial" w:hAnsi="Arial"/>
                <w:sz w:val="15"/>
                <w:szCs w:val="15"/>
                <w:color w:val="auto"/>
              </w:rPr>
              <w:t>(1)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(155,982)</w:t>
            </w: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154,732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liabilities, mezzanine equity and equity</w:t>
            </w:r>
            <w:r>
              <w:rPr>
                <w:rFonts w:ascii="Arial" w:cs="Arial" w:eastAsia="Arial" w:hAnsi="Arial"/>
                <w:sz w:val="15"/>
                <w:szCs w:val="15"/>
                <w:color w:val="auto"/>
              </w:rPr>
              <w:t>(1)</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$ 184,867</w:t>
            </w:r>
          </w:p>
        </w:tc>
        <w:tc>
          <w:tcPr>
            <w:tcW w:w="8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184,867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441,390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jc w:val="both"/>
        <w:ind w:left="340" w:right="240" w:hanging="332"/>
        <w:spacing w:after="0" w:line="23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US$1.00 change in the assumed initial public offering price of US$6.75 per share, or US$13.50 per ADS, the midpoint of the estimated offering price range set forth on the cover page of this prospectus, would increase, in the case of an increase, or decrease, in the case of a decrease, each of additional paid-in capital, total shareholders’ deficit and total liabilities, mezzanine equity and equity by approximately US$14.9 million.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6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net tangible book value as of September 30, 2014 was approximately US$154.7 million, or US$1.18 per ordinary share as of that date and US$2.36 per ADS. Net tangible book value represents the amount of our total consolidated tangible assets, less the amount of our total consolidated liabilities. Dilution is determined by subtracting net tangible book value per ordinary share and preferred shares on an as-converted basis, after giving effect to (i) the additional proceeds we will receive from this offering, from the assumed initial public offering price of US$6.75 per ordinary share, which is the midpoint of the estimated offering price range set forth on the cover page of this prospectus adjusted to reflect the ADS-to-Class A ordinary share ratio, and after deducting underwriting discounts and commissions and estimated offering expenses payable by us and (ii) the issuance and sale in the Concurrent Private Placement of 8,888,888 Class A ordinary shares, calculated based on the midpoint of the estimated offering price range shown on the front cover page of this prospectus, with net proceeds of US$60.0 million to us. Because the Class A ordinary shares and Class B ordinary shares have the same dividend and other rights, except for voting and conversion rights, the dilution is presented based on all ordinary shares, including Class A ordinary shares and Class B ordinary shares.</w:t>
      </w:r>
    </w:p>
    <w:p>
      <w:pPr>
        <w:spacing w:after="0" w:line="16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Without taking into account any other changes in net tangible book value after September 30, 2014, other than to give effect to (i) the automatic re-designation of 96,886,370 ordinary shares held by Gallant Future Holdings Limited into Class B ordinary shares on a one-for-one basis immediately prior to the completion of this offering, (ii) the automatic re-designation of all of our remaining ordinary shares and the automatic conversion and re-designation of all of our preferred shares that are issued and outstanding into Class A ordinary shares on a one-for-one basis immediately prior to the completion of this offering, (iii) our sale of the ADSs offered in this offering at the assumed initial public offering price of US$13.50 per ADS, the midpoint of the estimated range of the offering price, after deduction of the underwriting discounts and commissions and estimated offering expenses payable by us, and (iv) the issuance and sale of 8,888,888 Class A ordinary shares through the Concurrent Private Placement, calculated based on the midpoint of the estimated offering price range shown on the front cover page of this prospectus, with net proceeds of US$60.0 million to us, our pro forma as adjusted net tangible book value as of September 30, 2014 would have been approximately US$411.3 million, or US$1.10 per ordinary share and US$2.20 per ADS. This represents an immediate increase in net tangible book value of US$0.63 per ordinary share and US$1.26 per ADS to the existing shareholders and an immediate dilution in net tangible book value of US$5.65 per ordinary share and US$11.30 per ADS to investors purchasing ADSs in this offering. The following table illustrates such dilution: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Per Ordinary</w:t>
            </w: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w:t>
            </w: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Class A ordinary share</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tangible book value as per ordinary share of September 30, 2014</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 forma net tangible book value per ordinary share after giving effect to (i) the automatic re-designation of</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shares held by Gallant Future Holdings Limited into Class B ordinary shares and (ii) the</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automatic re-designation of our remaining ordinary shares and the automatic conversion and re-</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designation of our preferred shares into Class A ordinary shares</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0.47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8"/>
              </w:rPr>
              <w:t>Pro forma as adjusted net tangible book value per ordinary share after giving effect to (i) the automatic re-</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w w:val="98"/>
              </w:rPr>
              <w:t>designation of ordinary shares held by Gallant Future Holdings Limited into Class B ordinary shares, (ii)</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w w:val="96"/>
              </w:rPr>
              <w:t>the automatic re-designation of all of our remaining ordinary shares and the automatic conversion and re-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w w:val="98"/>
              </w:rPr>
              <w:t>designation of our preferred shares into Class A ordinary shares, (iii) the Concurrent Private Placement</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and (iv) this offering</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per ordinary share to new investors in this offering</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11.30</w:t>
            </w:r>
          </w:p>
        </w:tc>
        <w:tc>
          <w:tcPr>
            <w:tcW w:w="0" w:type="dxa"/>
            <w:vAlign w:val="bottom"/>
          </w:tcPr>
          <w:p>
            <w:pPr>
              <w:spacing w:after="0"/>
              <w:rPr>
                <w:sz w:val="1"/>
                <w:szCs w:val="1"/>
                <w:color w:val="auto"/>
              </w:rPr>
            </w:pPr>
          </w:p>
        </w:tc>
      </w:tr>
      <w:tr>
        <w:trPr>
          <w:trHeight w:val="365"/>
        </w:trPr>
        <w:tc>
          <w:tcPr>
            <w:tcW w:w="8280" w:type="dxa"/>
            <w:vAlign w:val="bottom"/>
          </w:tcPr>
          <w:p>
            <w:pPr>
              <w:ind w:left="5620"/>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$1.00 change in the assumed public offering price of US$13.50 per ADS would increase, in the case of an increase, or decrease, in the case of a decrease, our pro forma as adjusted net tangible book value after giving effect to this offering by approximately US$14.9 million, the pro forma as adjusted net tangible book value per ordinary share and per ADS after giving effect to this offering by US$0.04 per ordinary share and US$0.08 per ADS and the dilution in pro forma as adjusted net tangible book value per ordinary share and per ADS to new investors in this offering by US$0.46 per ordinary share and US$0.92 per ADS, assuming (i) no change to the number of ADSs offered by us as set forth on the cover page of this prospectus, and after deducting underwriting discounts and commissions and other offering expenses and (ii) the issuance and sale in the Concurrent Private Placement of Class A ordinary shares, with net proceeds of US$60.0 million to us.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following table summarizes, on a pro forma as adjusted basis as of September 30, 2014, the differences between existing shareholders and the new investors with respect to the number of ordinary shares (in the form of ADSs or shares) purchased from us in this offering and the Concurrent Private Placement, the total consideration paid and the average price per ordinary share and per ADS paid before deducting the underwriting discounts and commissions and estimated offering expenses. The total number of ordinary shares does not include Class A ordinary shares underlying the ADSs issuable upon the exercise of the over-allotment option granted to the underwriters.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Ordinary Shares Purchased</w:t>
            </w:r>
          </w:p>
        </w:tc>
        <w:tc>
          <w:tcPr>
            <w:tcW w:w="240" w:type="dxa"/>
            <w:vAlign w:val="bottom"/>
          </w:tcPr>
          <w:p>
            <w:pPr>
              <w:spacing w:after="0"/>
              <w:rPr>
                <w:sz w:val="14"/>
                <w:szCs w:val="14"/>
                <w:color w:val="auto"/>
              </w:rPr>
            </w:pPr>
          </w:p>
        </w:tc>
        <w:tc>
          <w:tcPr>
            <w:tcW w:w="23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Total Consideration</w:t>
            </w:r>
          </w:p>
        </w:tc>
        <w:tc>
          <w:tcPr>
            <w:tcW w:w="2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Amount</w:t>
            </w: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Price Per</w:t>
            </w:r>
          </w:p>
        </w:tc>
        <w:tc>
          <w:tcPr>
            <w:tcW w:w="8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Number</w:t>
            </w:r>
          </w:p>
        </w:tc>
        <w:tc>
          <w:tcPr>
            <w:tcW w:w="54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4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(in US$</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3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Ordinary</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5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5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ADS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332,067,222</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US$280,525</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US$0.84</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New investors</w:t>
            </w:r>
          </w:p>
        </w:tc>
        <w:tc>
          <w:tcPr>
            <w:tcW w:w="1020" w:type="dxa"/>
            <w:vAlign w:val="bottom"/>
          </w:tcPr>
          <w:p>
            <w:pPr>
              <w:jc w:val="right"/>
              <w:spacing w:after="0"/>
              <w:rPr>
                <w:sz w:val="20"/>
                <w:szCs w:val="20"/>
                <w:color w:val="auto"/>
              </w:rPr>
            </w:pPr>
            <w:r>
              <w:rPr>
                <w:rFonts w:ascii="Arial" w:cs="Arial" w:eastAsia="Arial" w:hAnsi="Arial"/>
                <w:sz w:val="18"/>
                <w:szCs w:val="18"/>
                <w:color w:val="auto"/>
              </w:rPr>
              <w:t>40,888,888</w:t>
            </w:r>
          </w:p>
        </w:tc>
        <w:tc>
          <w:tcPr>
            <w:tcW w:w="5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700" w:type="dxa"/>
            <w:vAlign w:val="bottom"/>
            <w:gridSpan w:val="3"/>
          </w:tcPr>
          <w:p>
            <w:pPr>
              <w:jc w:val="center"/>
              <w:ind w:right="300"/>
              <w:spacing w:after="0"/>
              <w:rPr>
                <w:sz w:val="20"/>
                <w:szCs w:val="20"/>
                <w:color w:val="auto"/>
              </w:rPr>
            </w:pPr>
            <w:r>
              <w:rPr>
                <w:rFonts w:ascii="Arial" w:cs="Arial" w:eastAsia="Arial" w:hAnsi="Arial"/>
                <w:sz w:val="18"/>
                <w:szCs w:val="18"/>
                <w:u w:val="single" w:color="auto"/>
                <w:color w:val="auto"/>
                <w:w w:val="91"/>
              </w:rPr>
              <w:t>US$</w:t>
            </w:r>
            <w:r>
              <w:rPr>
                <w:rFonts w:ascii="Arial" w:cs="Arial" w:eastAsia="Arial" w:hAnsi="Arial"/>
                <w:sz w:val="18"/>
                <w:szCs w:val="18"/>
                <w:color w:val="auto"/>
                <w:w w:val="91"/>
              </w:rPr>
              <w:t>276,000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49.6%</w:t>
            </w: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US$6.75</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372,956,110</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70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u w:val="single" w:color="auto"/>
                <w:color w:val="auto"/>
                <w:w w:val="91"/>
              </w:rPr>
              <w:t>US$</w:t>
            </w:r>
            <w:r>
              <w:rPr>
                <w:rFonts w:ascii="Arial" w:cs="Arial" w:eastAsia="Arial" w:hAnsi="Arial"/>
                <w:sz w:val="18"/>
                <w:szCs w:val="18"/>
                <w:color w:val="auto"/>
                <w:w w:val="91"/>
              </w:rPr>
              <w:t>556,525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pro forma as adjusted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discussion and tables above assume no exercise of any outstanding share options outstanding as of the date of this prospectus. As of the date of this prospectus, there are 30,727,026 ordinary shares issuable upon exercise of outstanding share options at a weighted average exercise price of $0.0948 per share pursuant to our 2012 Plan, and there are 14,031,194 ordinary shares available for future issuance upon the exercise of future grants under our 2012 Plan, though we will no longer grant any incentive shares under the 2012 Plan. No share-based award has been granted under our 2014 Plan as of the date of this prospectus. To the extent that any of these options are exercised, there will be further dilution to new investors.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incorporated in the Cayman Islands to take advantage of certain benefits associated with being a Cayman Islands exempted company, such as:</w:t>
      </w:r>
    </w:p>
    <w:p>
      <w:pPr>
        <w:spacing w:after="0" w:line="15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w:t>
      </w:r>
    </w:p>
    <w:p>
      <w:pPr>
        <w:spacing w:after="0" w:line="131" w:lineRule="exact"/>
        <w:rPr>
          <w:sz w:val="20"/>
          <w:szCs w:val="20"/>
          <w:color w:val="auto"/>
        </w:rPr>
      </w:pPr>
    </w:p>
    <w:p>
      <w:pPr>
        <w:ind w:left="900" w:right="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Substantially all of our operations are conducted in China, and substantially all of our assets are located in China. All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have appointed Law Debenture Corporate Services Inc. as our agent upon whom process may be served in any action brought against us under the securities laws of the United States.</w:t>
      </w:r>
    </w:p>
    <w:p>
      <w:pPr>
        <w:spacing w:after="0" w:line="170"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Maples and Calder, our legal counsel as to Cayman Islands law, and Han Kun Law Offices, our legal counsel as to PRC law, have advised us, respectively, that there is uncertainty as to whether the courts of the Cayman Islands and China, respectively, would:</w:t>
      </w:r>
    </w:p>
    <w:p>
      <w:pPr>
        <w:spacing w:after="0" w:line="52" w:lineRule="exact"/>
        <w:rPr>
          <w:sz w:val="20"/>
          <w:szCs w:val="20"/>
          <w:color w:val="auto"/>
        </w:rPr>
      </w:pPr>
    </w:p>
    <w:p>
      <w:pPr>
        <w:ind w:left="900" w:right="7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There is uncertainty with regard to Cayman Islands law relates to whether a judgment obtained from the United States courts under civil liability provisions of the securities laws will be determined by the courts of the Cayman Islands as penal or punitive in nature. If such a determination is made, the courts of the Cayman Islands will not recognize or enforce the judgment against a Cayman Islands company. Because the courts of the Cayman Islands have yet to rule on whether such judgments are penal or punitive in nature, it is uncertain whether they would be enforceable in the Cayman Islands. Maples and Calder has advised us that although there is no statutory enforcement in the Cayman Islands of judgments obtained in the federal or state courts of the United States, a judgment obtained in such jurisdiction will be recognized and enforced in the courts of the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Cayman Islands at common law, without any re-examination of the merits of the underlying dispute, by an action commenced on the foreign judgment debt in the Grand Court of the Cayman Islands, provided such judgment:</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given by a foreign court of competent jurisdiction;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imposes on the judgment debtor a liability to pay a liquidated sum for which the judgment has been given;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final;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not in respect of taxes, a fine or a penalty; and</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was not obtained in a manner and is not of a kind the enforcement of which is contrary to natural justice or the public policy of the Cayman Islands.</w:t>
      </w:r>
    </w:p>
    <w:p>
      <w:pPr>
        <w:spacing w:after="0" w:line="17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Han Kun Law Offices has further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rendered or on reciprocity between the jurisdictions. China does not have any treaties or other form of reciprocity with the United States or the Cayman Islands that provide for the reciprocal recognition and enforcement of foreign judgments in connection with civil liabilities. In addition, according to the PRC Civil Procedure Law, courts in the PRC will not enforce a foreign judgment against us or our directors and officers if they decide that the judgment violates the basic principles of PRC law or national sovereignty, security or public interest. A judgment that does not violate the basic principles of PRC law or national sovereignty, security or public interest may be recognized and enforced by a PRC court base on treaties between China and the country where the judgment is made or on principles of reciprocity between jurisdictions. However, as of the date of this prospectus, no treaty or other form of reciprocity exists between China and the United States or the Cayman Islands governing the recognition and enforcement of judgments. As a result, it is uncertain whether and on what basis a PRC court would enforce a judgment rendered by a court in the United States or the Cayman Islands.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started our operations in July 2011 when our founders established our consolidated affiliated entity Beijing Momo in China. In order to facilitate foreign investment in our company, we incorporated our holding company under the name of Momo Technology Company Limited in the British Virgin Islands in November 2011. In July 2014, Momo Technology Company Limited was redomiciled in the Cayman Islands as an exempted company registered under the laws of the Cayman Islands, and was renamed Momo Inc. In December 2011, we established Momo HK, a wholly owned subsidiary, in Hong Kong. Subsequently, Momo HK established a wholly-owned PRC subsidiary, Beijing Momo IT in March 2012. In May 2013, we established Chengdu Momo as a wholly owned subsidiary of Beijing Momo. In addition, we recently formed a Delaware subsidiary, which is currently conducting market research and new product development.</w:t>
      </w:r>
    </w:p>
    <w:p>
      <w:pPr>
        <w:spacing w:after="0" w:line="18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diagram illustrates our corporate structure, including our principal subsidiaries and consolidated affiliated entity and its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74740" cy="2710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7474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ind w:left="340" w:right="260" w:hanging="332"/>
        <w:spacing w:after="0" w:line="271"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exercise effective control over Beijing Momo through contractual arrangements among Beijing Momo IT, Beijing Momo and Messrs. Yan Tang, Yong Li, Xiaoliang Lei and Zhiwei Li, who hold 72.0%, 16.0%, 6.4% and 5.6% of the equity interest in Beijing Momo, respectively. The shareholders of Beijing Momo are shareholders, directors or officers of Momo Inc.</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Beijing Momo</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PRC laws and regulations place certain restrictions on foreign investment in and ownership of internet-based businesses. Accordingly, we conduct our operations in China principally through Beijing Momo and its subsidiary, Chengdu Momo, over which we exercise effective control through contractual arrangements among Beijing Momo IT, Beijing Momo and its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arrangements allow us to:</w:t>
      </w:r>
    </w:p>
    <w:p>
      <w:pPr>
        <w:spacing w:after="0" w:line="13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exercise effective control over Beijing Momo;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Beijing Momo; and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an option to purchase all or part of the equity interests in Beijing Momo when and to the extent permitted by PRC law.</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a result of these contractual arrangements, we are the primary beneficiary of Beijing Momo and its subsidiary, and, therefore, have consolidated the financial results of Beijing Momo and its subsidiary in our consolidated financial statements in accordance with U.S. GAAP.</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our wholly-owned subsidiary, Beijing Momo IT, Beijing Momo, and the shareholders of Beijing Momo.</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Business operation agreement. </w:t>
      </w:r>
      <w:r>
        <w:rPr>
          <w:rFonts w:ascii="Arial" w:cs="Arial" w:eastAsia="Arial" w:hAnsi="Arial"/>
          <w:sz w:val="16"/>
          <w:szCs w:val="16"/>
          <w:color w:val="auto"/>
        </w:rPr>
        <w:t>Under the business operation agreement entered into among Beijing Momo IT, Beijing Momo and the shareholders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Beijing Momo on April 18, 2012, as supplemented on June 9, 2014, the shareholders of Beijing Momo agreed that Beijing Momo would not enter into any transaction that could materially or adversely affect its assets, business, interests or operations without prior written consent from Beijing Momo IT, including conducting business beyond the usual and normal scope, entering into any loan or other debtor-creditor relationship with third party, selling or disposing of assets or rights, including intellectual property rights, and creating guarantees or any other security on any of its assets or intellectual property rights in favor of a third party. In addition, the shareholders of Beijing Momo agreed to vote for or appoint nominees designated by Beijing Momo IT to serve as Beijing Momo’s directors, chairman, general managers, financial controllers and other senior managers. Furthermore, Beijing Momo’s shareholders agreed to accept and implement proposals set forth by Beijing Momo IT regarding employment, day-to-day business operations and financial management. Beijing Momo IT is entitled to any dividends or other interests declared by Beijing Momo and the shareholders of Beijing Momo have agreed to promptly transfer such dividends or other interests to Beijing Momo IT. These agreements have an initial term of ten years from the date of execution, and may be extended at the discretion of Beijing Momo IT. Beijing Momo IT may terminate this agreement at any time by giving a prior written notice to Beijing Momo and its shareholders. Neither Beijing Momo nor its shareholders may terminate this agreement.</w:t>
      </w:r>
    </w:p>
    <w:p>
      <w:pPr>
        <w:spacing w:after="0" w:line="16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Exclusive call option agreements</w:t>
      </w:r>
      <w:r>
        <w:rPr>
          <w:rFonts w:ascii="Arial" w:cs="Arial" w:eastAsia="Arial" w:hAnsi="Arial"/>
          <w:sz w:val="16"/>
          <w:szCs w:val="16"/>
          <w:color w:val="auto"/>
        </w:rPr>
        <w:t>. Under the exclusive call option agreements between Beijing Momo IT, Beijing Momo and each of the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Beijing Momo entered into on April 18, 2012, and amended and restated on April 18, 2014, each of the shareholders of Beijing Momo irrevocably granted Beijing Momo IT an exclusive option to purchase, to the extent permitted under PRC law, all or part of their equity interests in Beijing Momo for a nominal price of RMB10 or the lowest price permitted under PRC law. In addition, Beijing Momo irrevocably granted Beijing Momo IT an exclusive and irrevocable option to purchase any or all of the assets owned by Beijing Momo at the lowest price permitted under PRC law. Without Beijing Momo IT’s prior written consent, Beijing Momo and its shareholders will not sell, transfer, mortgage or otherwise dispose of Beijing Momo’s material assets, legal or beneficial interests or revenues of more than RMB500,000, or allow an encumbrance on any interest in Beijing Momo. These agreements will remain effective until all equity interests held in Beijing Momo by its shareholders are transferred or assigned to Beijing Momo IT.</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Equity interest pledge agreements</w:t>
      </w:r>
      <w:r>
        <w:rPr>
          <w:rFonts w:ascii="Arial" w:cs="Arial" w:eastAsia="Arial" w:hAnsi="Arial"/>
          <w:sz w:val="17"/>
          <w:szCs w:val="17"/>
          <w:color w:val="auto"/>
        </w:rPr>
        <w:t>. Under the equity interest pledge agreements between Beijing Momo IT, Beijing Momo and the shareholders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Beijing Momo entered into on April 18, 2012, and amended and restated on April 18, 2014, the shareholders of Beijing Momo pledged all of their equity interests in Beijing Momo (including any equity interest subsequently acquired) to Beijing Momo IT to guarantee the performance by Beijing Momo and its shareholders of their respective obligations under the contractual arrangements, including the payments due to Beijing Momo IT for services provided. If Beijing Momo or any of its shareholders breach their obligations under these contractual arrangements, Beijing Momo IT, as the pledgee, will be entitled to certain rights and remedies, including priority in receiving the proceeds from the auction or disposal of the pledged equity interests in Beijing Momo. Beijing Momo IT has the right to receive dividends generated by the pledged equity interests during the term of the pledge. The pledge becomes effective on the date when the pledge of equity interests contemplated under the agreement is registered with the relevant local administration for industry and commerce and will remain binding until Beijing Momo and its shareholders discharge all their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obligations under the contractual arrangements. We have registered the equity interest pledge agreements with Chaoyang Branch of Beijing Administration for Industry and Commerce in Beijing.</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Powers of attorney</w:t>
      </w:r>
      <w:r>
        <w:rPr>
          <w:rFonts w:ascii="Arial" w:cs="Arial" w:eastAsia="Arial" w:hAnsi="Arial"/>
          <w:sz w:val="18"/>
          <w:szCs w:val="18"/>
          <w:color w:val="auto"/>
        </w:rPr>
        <w:t>. Pursuant to the powers of attorney entered into on April 18, 2012 and amended and restated on April 18, 2014, each shareholder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Beijing Momo irrevocably appointed Beijing Momo IT as their attorney-in-fact to act for all matters pertaining to Beijing Momo and to exercise all of their rights as shareholders of Beijing Momo, including attending shareholders’ meetings and designating and appointing legal representatives, directors and senior management members of Beijing Momo. Beijing Momo IT may authorize or assign its rights under this appointment to any other person or entity at its sole discretion without prior notice to or prior consent from the shareholders of Beijing Momo. Each power of attorney remains in force until the shareholder ceases to hold any equity interest in Beijing Momo.</w:t>
      </w:r>
    </w:p>
    <w:p>
      <w:pPr>
        <w:spacing w:after="0" w:line="19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b w:val="1"/>
          <w:bCs w:val="1"/>
          <w:i w:val="1"/>
          <w:iCs w:val="1"/>
          <w:color w:val="auto"/>
        </w:rPr>
        <w:t>Spousal consent letters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spousal consent letters, each spouse of the married shareholders of Beijing Momo unconditionally and irrevocably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agreed that the equity interest in Beijing Momo held by and registered in the name of their spouse will be disposed of pursuant to the equity interest pledge agreement, the exclusive call option agreement, and the power of attorney. Each spouse agreed not to assert any rights over the equity interest in Beijing Momo held by their spouse. In addition, in the event that the spouses obtain any equity interest in Beijing Momo held by their spouse for any reason, they agreed to be bound by the contractual arrangements.</w:t>
      </w:r>
    </w:p>
    <w:p>
      <w:pPr>
        <w:spacing w:after="0" w:line="1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Exclusive cooperation agreements. </w:t>
      </w:r>
      <w:r>
        <w:rPr>
          <w:rFonts w:ascii="Arial" w:cs="Arial" w:eastAsia="Arial" w:hAnsi="Arial"/>
          <w:sz w:val="17"/>
          <w:szCs w:val="17"/>
          <w:color w:val="auto"/>
        </w:rPr>
        <w:t>Beijing Momo IT entered into an exclusive cooperation agreement and a supplemental agreement with Beijing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Momo on August 31, 2014 to supersede the exclusive technology consulting and management services agreement signed in April 2012 between Beijing Momo IT and Beijing Momo. Under the agreement, Beijing Momo IT has the exclusive right to provide, among other things, licenses, copyrights, technical and non-technical services to Beijing Momo and receive license fees and service fees as consideration. Without Beijing Momo IT’s prior written consent, Beijing Momo may not engage any third party to provide the same or similar licenses and services provided by Beijing Momo IT under the agreement. Beijing Momo IT also solely and exclusively owns any intellectual property rights arising from the performance of the agreement. Beijing Momo IT agrees to charge the licensing and service fees only if the operating profit rate, as such term is defined in the agreement, of Beijing Momo exceeds a specified threshold, which is initially set at 3.5% and will be adjusted from time to time. Any amount over the operating profit rate will be paid to Beijing Momo IT in the form of licensing and service fees. A breakdown of licensing and service fees will be exchanged between the parties each month and paid within 60 days from the end of such month. The licensing fee for the mobile social networking software owned by Beijing Momo IT will be 12.5% of Beijing Momo’s revenues generated from its principal business, while the licensing fee for the emoticons owned by Beijing Momo IT and licensed to Beijing Momo will be 12.5% of Beijing Momo’s revenues from emoticon sales, both to be adjusted from time to time. The agreement has retrospective effect starting from January 1, 2014 with respect to the licensing and service fees. The agreement has an initial term of ten years from the date of execution, and may be extended at the sole discretion of Beijing Momo IT. Beijing Momo IT may terminate the agreement at any time with a 30-day notice to Beijing Momo, but Beijing Momo may not terminate the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opinion of Han Kun Law Offices, our PRC counsel:</w:t>
      </w:r>
    </w:p>
    <w:p>
      <w:pPr>
        <w:spacing w:after="0" w:line="131" w:lineRule="exact"/>
        <w:rPr>
          <w:sz w:val="20"/>
          <w:szCs w:val="20"/>
          <w:color w:val="auto"/>
        </w:rPr>
      </w:pPr>
    </w:p>
    <w:p>
      <w:pPr>
        <w:ind w:left="900" w:right="14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ownership structures of Beijing Momo IT and Beijing Momo, currently and immediately after giving effect to this offering, will not result in any violation of PRC laws or regulations currently in effect; and</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contractual arrangements among Beijing Momo IT, Beijing Momo and the shareholders of Beijing Momo governed by PRC law, currently and immediately after giving effect to this offering, are valid, binding and enforceable, and do not and will not result in any violation of PRC laws or regulations currently in effect.</w:t>
      </w:r>
    </w:p>
    <w:p>
      <w:pPr>
        <w:spacing w:after="0" w:line="18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However, there are substantial uncertainties regarding the interpretation and application of current and future PRC laws, regulations and rules. Accordingly, the PRC regulatory authorities may in the future take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view that is contrary to the above opinion of our PRC counsel. If the PRC government finds that the agreements that establish the structure for operating our business do not comply with PRC government restrictions on foreign investment in our businesses, we could be subject to severe penalties, including being prohibited from continuing operations. See “Risk Factors—Risks Related to Our Corporate Structure—If the PRC government finds that the agreements that establish the structure for operating our businesses in China do not comply with PRC regulations on foreign investment in internet and other related businesses, or if these regulations or their interpretation change in the future, we could be subject to severe penalties or be forced to relinquish our interests in those operations,” and “Risk Factors—Risks Related to Doing Business in China—Uncertainties in the interpretation and enforcement of PRC laws and regulations could limit the legal protections available to you and us.”</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Beijing Momo IT also entered into an exclusive cooperation agreement and a supplemental agreement with Chengdu Momo on August 31, 2014, which agreements are substantially similar to the ones entered into between Beijing Momo IT and Beijing Momo described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The following selected consolidated income and comprehensive income data for the years ended December 31, 2012 and 2013, selected consolidated balance sheet data as of December 31, 2012 and 2013 and selected consolidated cash flow data for the years ended December 31, 2012 and 2013 have been derived from our audited consolidated financial statements included elsewhere in this prospectus. The following selected consolidated income and comprehensive income data for the nine months ended September 30, 2013 and 2014, selected consolidated balance sheet data as of September 30, 2014 and selected consolidated cash flow data for the nine months ended September 30, 2013 and 2014 have been derived from our unaudited condensed consolidated financial statements included elsewhere in this prospectus and have been prepared on the same basis as our audited consolidated financial statements and include all adjustments, consisting only of normal and recurring adjustments, that we consider necessary for a fair presentation of our financial position and operating results for the periods presented.</w:t>
      </w:r>
    </w:p>
    <w:p>
      <w:pPr>
        <w:spacing w:after="0" w:line="17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consolidated financial statements are prepared and presented in accordance with U.S. GAAP. Our historical results do not necessarily indicate results expected for any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4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2220" w:type="dxa"/>
            <w:vAlign w:val="bottom"/>
            <w:gridSpan w:val="4"/>
          </w:tcPr>
          <w:p>
            <w:pPr>
              <w:ind w:left="6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40" w:type="dxa"/>
            <w:vAlign w:val="bottom"/>
            <w:gridSpan w:val="4"/>
            <w:vMerge w:val="continue"/>
          </w:tcPr>
          <w:p>
            <w:pPr>
              <w:spacing w:after="0"/>
              <w:rPr>
                <w:sz w:val="14"/>
                <w:szCs w:val="14"/>
                <w:color w:val="auto"/>
              </w:rPr>
            </w:pPr>
          </w:p>
        </w:tc>
        <w:tc>
          <w:tcPr>
            <w:tcW w:w="22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320" w:type="dxa"/>
            <w:vAlign w:val="bottom"/>
            <w:gridSpan w:val="7"/>
          </w:tcPr>
          <w:p>
            <w:pPr>
              <w:jc w:val="right"/>
              <w:ind w:right="351"/>
              <w:spacing w:after="0" w:line="142" w:lineRule="exact"/>
              <w:rPr>
                <w:sz w:val="20"/>
                <w:szCs w:val="20"/>
                <w:color w:val="auto"/>
              </w:rPr>
            </w:pPr>
            <w:r>
              <w:rPr>
                <w:rFonts w:ascii="Arial" w:cs="Arial" w:eastAsia="Arial" w:hAnsi="Arial"/>
                <w:sz w:val="14"/>
                <w:szCs w:val="14"/>
                <w:b w:val="1"/>
                <w:bCs w:val="1"/>
                <w:color w:val="auto"/>
              </w:rPr>
              <w:t>(in US$ thousands, except share and share-related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Data of Consolidated Statements of Operations:</w:t>
            </w: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Membership subscription fees</w:t>
            </w:r>
          </w:p>
        </w:tc>
        <w:tc>
          <w:tcPr>
            <w:tcW w:w="1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Mobile games</w:t>
            </w:r>
          </w:p>
        </w:tc>
        <w:tc>
          <w:tcPr>
            <w:tcW w:w="16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services</w:t>
            </w:r>
          </w:p>
        </w:tc>
        <w:tc>
          <w:tcPr>
            <w:tcW w:w="1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Total net revenues</w:t>
            </w:r>
          </w:p>
        </w:tc>
        <w:tc>
          <w:tcPr>
            <w:tcW w:w="16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and expenses</w:t>
            </w:r>
            <w:r>
              <w:rPr>
                <w:rFonts w:ascii="Arial" w:cs="Arial" w:eastAsia="Arial" w:hAnsi="Arial"/>
                <w:sz w:val="15"/>
                <w:szCs w:val="15"/>
                <w:b w:val="1"/>
                <w:bCs w:val="1"/>
                <w:color w:val="auto"/>
              </w:rPr>
              <w:t>(1)</w:t>
            </w: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Cost of revenues</w:t>
            </w:r>
          </w:p>
        </w:tc>
        <w:tc>
          <w:tcPr>
            <w:tcW w:w="16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(2,927)</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(1,198)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2720" w:type="dxa"/>
            <w:vAlign w:val="bottom"/>
            <w:gridSpan w:val="3"/>
          </w:tcPr>
          <w:p>
            <w:pPr>
              <w:jc w:val="right"/>
              <w:ind w:right="160"/>
              <w:spacing w:after="0"/>
              <w:rPr>
                <w:sz w:val="20"/>
                <w:szCs w:val="20"/>
                <w:color w:val="auto"/>
              </w:rPr>
            </w:pPr>
            <w:r>
              <w:rPr>
                <w:rFonts w:ascii="Arial" w:cs="Arial" w:eastAsia="Arial" w:hAnsi="Arial"/>
                <w:sz w:val="18"/>
                <w:szCs w:val="18"/>
                <w:color w:val="auto"/>
              </w:rPr>
              <w:t>(419)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(3,018)</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(1,521)</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(1,969)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(2,054)</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Total cost and expenses</w:t>
            </w:r>
          </w:p>
        </w:tc>
        <w:tc>
          <w:tcPr>
            <w:tcW w:w="16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(12,487)</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2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(49,386)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(3,842)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(9,358)</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(6,286)</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income</w:t>
            </w:r>
          </w:p>
        </w:tc>
        <w:tc>
          <w:tcPr>
            <w:tcW w:w="16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(9,326)</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(6,259)</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Deemed dividend to preferred shareholders</w:t>
            </w:r>
          </w:p>
        </w:tc>
        <w:tc>
          <w:tcPr>
            <w:tcW w:w="2720" w:type="dxa"/>
            <w:vAlign w:val="bottom"/>
            <w:gridSpan w:val="3"/>
          </w:tcPr>
          <w:p>
            <w:pPr>
              <w:jc w:val="right"/>
              <w:ind w:right="160"/>
              <w:spacing w:after="0"/>
              <w:rPr>
                <w:sz w:val="20"/>
                <w:szCs w:val="20"/>
                <w:color w:val="auto"/>
              </w:rPr>
            </w:pPr>
            <w:r>
              <w:rPr>
                <w:rFonts w:ascii="Arial" w:cs="Arial" w:eastAsia="Arial" w:hAnsi="Arial"/>
                <w:sz w:val="18"/>
                <w:szCs w:val="18"/>
                <w:color w:val="auto"/>
              </w:rPr>
              <w:t>(3,093)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(8,120)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(5,640)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(49,673)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(6,932)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(17,446)</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(11,899)</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(72,554)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w w:val="96"/>
              </w:rPr>
              <w:t>Net loss per share attributable to ordinary shareholders, as restated</w:t>
            </w:r>
            <w:r>
              <w:rPr>
                <w:rFonts w:ascii="Arial" w:cs="Arial" w:eastAsia="Arial" w:hAnsi="Arial"/>
                <w:sz w:val="15"/>
                <w:szCs w:val="15"/>
                <w:color w:val="auto"/>
                <w:w w:val="96"/>
              </w:rPr>
              <w:t>(</w:t>
            </w:r>
            <w:r>
              <w:rPr>
                <w:rFonts w:ascii="Arial" w:cs="Arial" w:eastAsia="Arial" w:hAnsi="Arial"/>
                <w:sz w:val="18"/>
                <w:szCs w:val="18"/>
                <w:color w:val="auto"/>
                <w:w w:val="96"/>
              </w:rPr>
              <w:t>*</w:t>
            </w:r>
            <w:r>
              <w:rPr>
                <w:rFonts w:ascii="Arial" w:cs="Arial" w:eastAsia="Arial" w:hAnsi="Arial"/>
                <w:sz w:val="15"/>
                <w:szCs w:val="15"/>
                <w:color w:val="auto"/>
                <w:w w:val="96"/>
              </w:rPr>
              <w:t>)</w:t>
            </w:r>
          </w:p>
        </w:tc>
        <w:tc>
          <w:tcPr>
            <w:tcW w:w="1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6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720" w:type="dxa"/>
            <w:vAlign w:val="bottom"/>
            <w:gridSpan w:val="3"/>
          </w:tcPr>
          <w:p>
            <w:pPr>
              <w:jc w:val="right"/>
              <w:ind w:right="160"/>
              <w:spacing w:after="0"/>
              <w:rPr>
                <w:sz w:val="20"/>
                <w:szCs w:val="20"/>
                <w:color w:val="auto"/>
              </w:rPr>
            </w:pPr>
            <w:r>
              <w:rPr>
                <w:rFonts w:ascii="Arial" w:cs="Arial" w:eastAsia="Arial" w:hAnsi="Arial"/>
                <w:sz w:val="18"/>
                <w:szCs w:val="18"/>
                <w:color w:val="auto"/>
              </w:rPr>
              <w:t>(0.12)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shares used in computing net loss per ordinary share</w:t>
            </w: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Basic</w:t>
            </w:r>
          </w:p>
        </w:tc>
        <w:tc>
          <w:tcPr>
            <w:tcW w:w="2720" w:type="dxa"/>
            <w:vAlign w:val="bottom"/>
            <w:gridSpan w:val="3"/>
          </w:tcPr>
          <w:p>
            <w:pPr>
              <w:jc w:val="right"/>
              <w:ind w:right="220"/>
              <w:spacing w:after="0"/>
              <w:rPr>
                <w:sz w:val="20"/>
                <w:szCs w:val="20"/>
                <w:color w:val="auto"/>
              </w:rPr>
            </w:pPr>
            <w:r>
              <w:rPr>
                <w:rFonts w:ascii="Arial" w:cs="Arial" w:eastAsia="Arial" w:hAnsi="Arial"/>
                <w:sz w:val="17"/>
                <w:szCs w:val="17"/>
                <w:color w:val="auto"/>
              </w:rPr>
              <w:t>60,103,654</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67,190,411</w:t>
            </w:r>
          </w:p>
        </w:tc>
        <w:tc>
          <w:tcPr>
            <w:tcW w:w="920" w:type="dxa"/>
            <w:vAlign w:val="bottom"/>
          </w:tcPr>
          <w:p>
            <w:pPr>
              <w:jc w:val="right"/>
              <w:spacing w:after="0"/>
              <w:rPr>
                <w:sz w:val="20"/>
                <w:szCs w:val="20"/>
                <w:color w:val="auto"/>
              </w:rPr>
            </w:pPr>
            <w:r>
              <w:rPr>
                <w:rFonts w:ascii="Arial" w:cs="Arial" w:eastAsia="Arial" w:hAnsi="Arial"/>
                <w:sz w:val="17"/>
                <w:szCs w:val="17"/>
                <w:color w:val="auto"/>
              </w:rPr>
              <w:t>62,562,500</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77,749,511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7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60,103,654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67,190,411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62,562,500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77,749,511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600" w:type="dxa"/>
            <w:vAlign w:val="bottom"/>
          </w:tcPr>
          <w:p>
            <w:pPr>
              <w:jc w:val="right"/>
              <w:ind w:right="1071"/>
              <w:spacing w:after="0"/>
              <w:rPr>
                <w:sz w:val="20"/>
                <w:szCs w:val="20"/>
                <w:color w:val="auto"/>
              </w:rPr>
            </w:pPr>
            <w:r>
              <w:rPr>
                <w:rFonts w:ascii="Arial" w:cs="Arial" w:eastAsia="Arial" w:hAnsi="Arial"/>
                <w:sz w:val="18"/>
                <w:szCs w:val="18"/>
                <w:color w:val="auto"/>
              </w:rPr>
              <w:t>60</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Net loss per ordinary share has been restated for each period to allocate all net losses to the ordinary shares, as the restricted shares do not contain a contractual obligation to fund losses.</w:t>
      </w:r>
    </w:p>
    <w:p>
      <w:pPr>
        <w:spacing w:after="0" w:line="1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Share-based compensation expenses were allocated in cost and expenses as follows: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20" w:type="dxa"/>
            <w:vAlign w:val="bottom"/>
            <w:gridSpan w:val="3"/>
          </w:tcPr>
          <w:p>
            <w:pPr>
              <w:jc w:val="right"/>
              <w:ind w:right="248"/>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Pr>
          <w:p>
            <w:pPr>
              <w:spacing w:after="0"/>
              <w:rPr>
                <w:sz w:val="14"/>
                <w:szCs w:val="14"/>
                <w:color w:val="auto"/>
              </w:rPr>
            </w:pPr>
          </w:p>
        </w:tc>
        <w:tc>
          <w:tcPr>
            <w:tcW w:w="2900" w:type="dxa"/>
            <w:vAlign w:val="bottom"/>
            <w:gridSpan w:val="4"/>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3" w:lineRule="exact"/>
              <w:rPr>
                <w:sz w:val="20"/>
                <w:szCs w:val="20"/>
                <w:color w:val="auto"/>
              </w:rPr>
            </w:pPr>
            <w:r>
              <w:rPr>
                <w:rFonts w:ascii="Arial" w:cs="Arial" w:eastAsia="Arial" w:hAnsi="Arial"/>
                <w:sz w:val="13"/>
                <w:szCs w:val="13"/>
                <w:b w:val="1"/>
                <w:bCs w:val="1"/>
                <w:color w:val="auto"/>
              </w:rPr>
              <w:t>2012</w:t>
            </w:r>
          </w:p>
        </w:tc>
        <w:tc>
          <w:tcPr>
            <w:tcW w:w="9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40" w:type="dxa"/>
            <w:vAlign w:val="bottom"/>
            <w:gridSpan w:val="3"/>
          </w:tcPr>
          <w:p>
            <w:pPr>
              <w:jc w:val="right"/>
              <w:ind w:right="1320"/>
              <w:spacing w:after="0" w:line="129" w:lineRule="exact"/>
              <w:rPr>
                <w:sz w:val="20"/>
                <w:szCs w:val="20"/>
                <w:color w:val="auto"/>
              </w:rPr>
            </w:pPr>
            <w:r>
              <w:rPr>
                <w:rFonts w:ascii="Arial" w:cs="Arial" w:eastAsia="Arial" w:hAnsi="Arial"/>
                <w:sz w:val="13"/>
                <w:szCs w:val="13"/>
                <w:b w:val="1"/>
                <w:bCs w:val="1"/>
                <w:color w:val="auto"/>
              </w:rPr>
              <w:t>(in US$ thousands)</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42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640" w:type="dxa"/>
            <w:vAlign w:val="bottom"/>
            <w:gridSpan w:val="3"/>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9</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9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2640" w:type="dxa"/>
            <w:vAlign w:val="bottom"/>
            <w:gridSpan w:val="3"/>
          </w:tcPr>
          <w:p>
            <w:pPr>
              <w:jc w:val="right"/>
              <w:ind w:right="840"/>
              <w:spacing w:after="0" w:line="149" w:lineRule="exact"/>
              <w:rPr>
                <w:sz w:val="20"/>
                <w:szCs w:val="20"/>
                <w:color w:val="auto"/>
              </w:rPr>
            </w:pPr>
            <w:r>
              <w:rPr>
                <w:rFonts w:ascii="Arial" w:cs="Arial" w:eastAsia="Arial" w:hAnsi="Arial"/>
                <w:sz w:val="14"/>
                <w:szCs w:val="14"/>
                <w:color w:val="auto"/>
              </w:rPr>
              <w:t>169</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 expenses</w:t>
            </w:r>
          </w:p>
        </w:tc>
        <w:tc>
          <w:tcPr>
            <w:tcW w:w="142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11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2640" w:type="dxa"/>
            <w:vAlign w:val="bottom"/>
            <w:gridSpan w:val="3"/>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48</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9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532</w:t>
            </w:r>
          </w:p>
        </w:tc>
        <w:tc>
          <w:tcPr>
            <w:tcW w:w="840" w:type="dxa"/>
            <w:vAlign w:val="bottom"/>
          </w:tcPr>
          <w:p>
            <w:pPr>
              <w:spacing w:after="0"/>
              <w:rPr>
                <w:sz w:val="12"/>
                <w:szCs w:val="12"/>
                <w:color w:val="auto"/>
              </w:rPr>
            </w:pPr>
          </w:p>
        </w:tc>
        <w:tc>
          <w:tcPr>
            <w:tcW w:w="180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314</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9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w:t>
            </w:r>
          </w:p>
        </w:tc>
        <w:tc>
          <w:tcPr>
            <w:tcW w:w="8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540</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summary consolidated balance sheet data as of December 31, 2012, 2013 and September 30,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58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Pr>
          <w:p>
            <w:pPr>
              <w:spacing w:after="0"/>
              <w:rPr>
                <w:sz w:val="14"/>
                <w:szCs w:val="14"/>
                <w:color w:val="auto"/>
              </w:rPr>
            </w:pPr>
          </w:p>
        </w:tc>
        <w:tc>
          <w:tcPr>
            <w:tcW w:w="1880" w:type="dxa"/>
            <w:vAlign w:val="bottom"/>
          </w:tcPr>
          <w:p>
            <w:pPr>
              <w:jc w:val="right"/>
              <w:ind w:right="57"/>
              <w:spacing w:after="0"/>
              <w:rPr>
                <w:sz w:val="20"/>
                <w:szCs w:val="20"/>
                <w:color w:val="auto"/>
              </w:rPr>
            </w:pPr>
            <w:r>
              <w:rPr>
                <w:rFonts w:ascii="Arial" w:cs="Arial" w:eastAsia="Arial" w:hAnsi="Arial"/>
                <w:sz w:val="14"/>
                <w:szCs w:val="14"/>
                <w:b w:val="1"/>
                <w:bCs w:val="1"/>
                <w:color w:val="auto"/>
              </w:rPr>
              <w:t>As of September 30, 2014</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98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0"/>
                <w:szCs w:val="10"/>
                <w:color w:val="auto"/>
              </w:rPr>
            </w:pPr>
          </w:p>
        </w:tc>
        <w:tc>
          <w:tcPr>
            <w:tcW w:w="96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4"/>
                <w:szCs w:val="14"/>
                <w:b w:val="1"/>
                <w:bCs w:val="1"/>
                <w:color w:val="auto"/>
              </w:rPr>
              <w:t>Actual</w:t>
            </w:r>
          </w:p>
        </w:tc>
        <w:tc>
          <w:tcPr>
            <w:tcW w:w="1880" w:type="dxa"/>
            <w:vAlign w:val="bottom"/>
            <w:tcBorders>
              <w:top w:val="single" w:sz="8" w:color="auto"/>
            </w:tcBorders>
          </w:tcPr>
          <w:p>
            <w:pPr>
              <w:jc w:val="right"/>
              <w:ind w:right="637"/>
              <w:spacing w:after="0" w:line="119" w:lineRule="exact"/>
              <w:rPr>
                <w:sz w:val="20"/>
                <w:szCs w:val="20"/>
                <w:color w:val="auto"/>
              </w:rPr>
            </w:pPr>
            <w:r>
              <w:rPr>
                <w:rFonts w:ascii="Arial" w:cs="Arial" w:eastAsia="Arial" w:hAnsi="Arial"/>
                <w:sz w:val="13"/>
                <w:szCs w:val="13"/>
                <w:b w:val="1"/>
                <w:bCs w:val="1"/>
                <w:color w:val="auto"/>
              </w:rPr>
              <w:t>Unaudited</w:t>
            </w:r>
          </w:p>
        </w:tc>
        <w:tc>
          <w:tcPr>
            <w:tcW w:w="98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80" w:type="dxa"/>
            <w:vAlign w:val="bottom"/>
          </w:tcPr>
          <w:p>
            <w:pPr>
              <w:jc w:val="right"/>
              <w:ind w:right="577"/>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2"/>
          </w:tcPr>
          <w:p>
            <w:pPr>
              <w:jc w:val="right"/>
              <w:ind w:right="1557"/>
              <w:spacing w:after="0" w:line="142" w:lineRule="exact"/>
              <w:rPr>
                <w:sz w:val="20"/>
                <w:szCs w:val="20"/>
                <w:color w:val="auto"/>
              </w:rPr>
            </w:pPr>
            <w:r>
              <w:rPr>
                <w:rFonts w:ascii="Arial" w:cs="Arial" w:eastAsia="Arial" w:hAnsi="Arial"/>
                <w:sz w:val="14"/>
                <w:szCs w:val="14"/>
                <w:b w:val="1"/>
                <w:bCs w:val="1"/>
                <w:color w:val="auto"/>
                <w:w w:val="92"/>
              </w:rPr>
              <w:t>(in US$ thousands)</w:t>
            </w: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335"/>
              <w:spacing w:after="0"/>
              <w:rPr>
                <w:sz w:val="20"/>
                <w:szCs w:val="20"/>
                <w:color w:val="auto"/>
              </w:rPr>
            </w:pPr>
            <w:r>
              <w:rPr>
                <w:rFonts w:ascii="Arial" w:cs="Arial" w:eastAsia="Arial" w:hAnsi="Arial"/>
                <w:sz w:val="18"/>
                <w:szCs w:val="18"/>
                <w:color w:val="auto"/>
                <w:w w:val="98"/>
              </w:rPr>
              <w:t>18,539</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55,374</w:t>
            </w:r>
          </w:p>
        </w:tc>
        <w:tc>
          <w:tcPr>
            <w:tcW w:w="960" w:type="dxa"/>
            <w:vAlign w:val="bottom"/>
          </w:tcPr>
          <w:p>
            <w:pPr>
              <w:jc w:val="right"/>
              <w:ind w:right="175"/>
              <w:spacing w:after="0"/>
              <w:rPr>
                <w:sz w:val="20"/>
                <w:szCs w:val="20"/>
                <w:color w:val="auto"/>
              </w:rPr>
            </w:pPr>
            <w:r>
              <w:rPr>
                <w:rFonts w:ascii="Arial" w:cs="Arial" w:eastAsia="Arial" w:hAnsi="Arial"/>
                <w:sz w:val="18"/>
                <w:szCs w:val="18"/>
                <w:color w:val="auto"/>
              </w:rPr>
              <w:t>162,206</w:t>
            </w:r>
          </w:p>
        </w:tc>
        <w:tc>
          <w:tcPr>
            <w:tcW w:w="1880" w:type="dxa"/>
            <w:vAlign w:val="bottom"/>
          </w:tcPr>
          <w:p>
            <w:pPr>
              <w:jc w:val="right"/>
              <w:ind w:right="557"/>
              <w:spacing w:after="0"/>
              <w:rPr>
                <w:sz w:val="20"/>
                <w:szCs w:val="20"/>
                <w:color w:val="auto"/>
              </w:rPr>
            </w:pPr>
            <w:r>
              <w:rPr>
                <w:rFonts w:ascii="Arial" w:cs="Arial" w:eastAsia="Arial" w:hAnsi="Arial"/>
                <w:sz w:val="18"/>
                <w:szCs w:val="18"/>
                <w:color w:val="auto"/>
              </w:rPr>
              <w:t>162,206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418,729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98"/>
              </w:rPr>
              <w:t>20,784</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63,025</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184,867</w:t>
            </w:r>
          </w:p>
        </w:tc>
        <w:tc>
          <w:tcPr>
            <w:tcW w:w="188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184,867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liabilities</w:t>
            </w:r>
          </w:p>
        </w:tc>
        <w:tc>
          <w:tcPr>
            <w:tcW w:w="980" w:type="dxa"/>
            <w:vAlign w:val="bottom"/>
          </w:tcPr>
          <w:p>
            <w:pPr>
              <w:jc w:val="right"/>
              <w:ind w:right="335"/>
              <w:spacing w:after="0"/>
              <w:rPr>
                <w:sz w:val="20"/>
                <w:szCs w:val="20"/>
                <w:color w:val="auto"/>
              </w:rPr>
            </w:pPr>
            <w:r>
              <w:rPr>
                <w:rFonts w:ascii="Arial" w:cs="Arial" w:eastAsia="Arial" w:hAnsi="Arial"/>
                <w:sz w:val="18"/>
                <w:szCs w:val="18"/>
                <w:color w:val="auto"/>
              </w:rPr>
              <w:t>143</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5,566</w:t>
            </w:r>
          </w:p>
        </w:tc>
        <w:tc>
          <w:tcPr>
            <w:tcW w:w="960" w:type="dxa"/>
            <w:vAlign w:val="bottom"/>
          </w:tcPr>
          <w:p>
            <w:pPr>
              <w:jc w:val="right"/>
              <w:ind w:right="175"/>
              <w:spacing w:after="0"/>
              <w:rPr>
                <w:sz w:val="20"/>
                <w:szCs w:val="20"/>
                <w:color w:val="auto"/>
              </w:rPr>
            </w:pPr>
            <w:r>
              <w:rPr>
                <w:rFonts w:ascii="Arial" w:cs="Arial" w:eastAsia="Arial" w:hAnsi="Arial"/>
                <w:sz w:val="18"/>
                <w:szCs w:val="18"/>
                <w:color w:val="auto"/>
              </w:rPr>
              <w:t>30,135</w:t>
            </w:r>
          </w:p>
        </w:tc>
        <w:tc>
          <w:tcPr>
            <w:tcW w:w="1880" w:type="dxa"/>
            <w:vAlign w:val="bottom"/>
          </w:tcPr>
          <w:p>
            <w:pPr>
              <w:jc w:val="right"/>
              <w:ind w:right="557"/>
              <w:spacing w:after="0"/>
              <w:rPr>
                <w:sz w:val="20"/>
                <w:szCs w:val="20"/>
                <w:color w:val="auto"/>
              </w:rPr>
            </w:pPr>
            <w:r>
              <w:rPr>
                <w:rFonts w:ascii="Arial" w:cs="Arial" w:eastAsia="Arial" w:hAnsi="Arial"/>
                <w:sz w:val="18"/>
                <w:szCs w:val="18"/>
                <w:color w:val="auto"/>
              </w:rPr>
              <w:t>30,135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30,135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9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98"/>
              </w:rPr>
              <w:t>27,199</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80,319</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310,714</w:t>
            </w:r>
          </w:p>
        </w:tc>
        <w:tc>
          <w:tcPr>
            <w:tcW w:w="188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Total equity (deficit)</w:t>
            </w: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(6,558)</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(22,860)</w:t>
            </w:r>
          </w:p>
        </w:tc>
        <w:tc>
          <w:tcPr>
            <w:tcW w:w="960" w:type="dxa"/>
            <w:vAlign w:val="bottom"/>
          </w:tcPr>
          <w:p>
            <w:pPr>
              <w:jc w:val="right"/>
              <w:ind w:right="115"/>
              <w:spacing w:after="0"/>
              <w:rPr>
                <w:sz w:val="20"/>
                <w:szCs w:val="20"/>
                <w:color w:val="auto"/>
              </w:rPr>
            </w:pPr>
            <w:r>
              <w:rPr>
                <w:rFonts w:ascii="Arial" w:cs="Arial" w:eastAsia="Arial" w:hAnsi="Arial"/>
                <w:sz w:val="18"/>
                <w:szCs w:val="18"/>
                <w:color w:val="auto"/>
                <w:w w:val="95"/>
              </w:rPr>
              <w:t>(155,982)</w:t>
            </w:r>
          </w:p>
        </w:tc>
        <w:tc>
          <w:tcPr>
            <w:tcW w:w="1880" w:type="dxa"/>
            <w:vAlign w:val="bottom"/>
          </w:tcPr>
          <w:p>
            <w:pPr>
              <w:jc w:val="right"/>
              <w:ind w:right="557"/>
              <w:spacing w:after="0"/>
              <w:rPr>
                <w:sz w:val="20"/>
                <w:szCs w:val="20"/>
                <w:color w:val="auto"/>
              </w:rPr>
            </w:pPr>
            <w:r>
              <w:rPr>
                <w:rFonts w:ascii="Arial" w:cs="Arial" w:eastAsia="Arial" w:hAnsi="Arial"/>
                <w:sz w:val="18"/>
                <w:szCs w:val="18"/>
                <w:color w:val="auto"/>
              </w:rPr>
              <w:t>154,732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ind w:left="340" w:hanging="332"/>
        <w:spacing w:after="0" w:line="221"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4"/>
          <w:szCs w:val="14"/>
          <w:color w:val="auto"/>
        </w:rPr>
        <w:t>The consolidated balance sheet data as of September 30, 2014 are adjusted on an unaudited pro forma basis to give effect to (i) the automatic re-designation of 96,886,370 ordinary shares held by Gallant Future Holdings Limited into Class B ordinary shares on a one-for-one basis immediately prior to the completion of this offering and (ii) the automatic re-designation of all of our remaining ordinary shares and the automatic conversion and re-designation of all of our outstanding Series A-1, Series A-2, Series A-3, Series B, Series C and Series D preferred shares into 235,180,852 Class A ordinary shares immediately prior to the completion of this offering.</w:t>
      </w:r>
    </w:p>
    <w:p>
      <w:pPr>
        <w:spacing w:after="0" w:line="1" w:lineRule="exact"/>
        <w:rPr>
          <w:rFonts w:ascii="Arial" w:cs="Arial" w:eastAsia="Arial" w:hAnsi="Arial"/>
          <w:sz w:val="12"/>
          <w:szCs w:val="12"/>
          <w:color w:val="auto"/>
        </w:rPr>
      </w:pPr>
    </w:p>
    <w:p>
      <w:pPr>
        <w:ind w:left="340" w:hanging="332"/>
        <w:spacing w:after="0" w:line="225"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4"/>
          <w:szCs w:val="14"/>
          <w:color w:val="auto"/>
        </w:rPr>
        <w:t>The consolidated balance sheet data as of September 30, 2014 are adjusted on an unaudited pro forma as adjusted basis to give effect to (i) the automatic re-designation of 96,886,370 ordinary shares held by Gallant Future Holdings Limited into Class B ordinary shares on a one-for-one basis immediately prior to the completion of this offering, (ii) the automatic re-designation of all of our remaining ordinary shares and the automatic conversion and re-designation of all of our outstanding Series A-1, Series A-2, Series A-3, Series B, Series C and Series D preferred shares into 235,180,852 Class A ordinary shares immediately prior to the completion of this offering, (iii) the sale of 32,000,000 Class A ordinary shares in the form of ADSs by us in this offering at an assumed initial public offering price of US$13.50 per ADS, the midpoint of the estimated offering price range shown on the front cover of this prospectus, after deducting the underwriting discounts and commissions and estimated offering expenses payable by us, assuming the underwriters do not exercise the over-allotment option and (iv) the issuance and sale of 8,888,888 Class A ordinary shares through the Concurrent Private Placement, calculated based on the midpoint of the estimated offering price range shown on the front cover page of this prospectus, with net proceeds of US$60.0 million to us.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presents our summary consolidated cash flow data for the years ended December 31, 2012 and 2013, as well as the nine months ended September 30, 2013 and 2014.</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3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28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c>
          <w:tcPr>
            <w:tcW w:w="8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80" w:type="dxa"/>
            <w:vAlign w:val="bottom"/>
            <w:gridSpan w:val="3"/>
          </w:tcPr>
          <w:p>
            <w:pPr>
              <w:jc w:val="right"/>
              <w:ind w:right="1280"/>
              <w:spacing w:after="0" w:line="142" w:lineRule="exact"/>
              <w:rPr>
                <w:sz w:val="20"/>
                <w:szCs w:val="20"/>
                <w:color w:val="auto"/>
              </w:rPr>
            </w:pPr>
            <w:r>
              <w:rPr>
                <w:rFonts w:ascii="Arial" w:cs="Arial" w:eastAsia="Arial" w:hAnsi="Arial"/>
                <w:sz w:val="14"/>
                <w:szCs w:val="14"/>
                <w:b w:val="1"/>
                <w:bCs w:val="1"/>
                <w:color w:val="auto"/>
                <w:w w:val="92"/>
              </w:rPr>
              <w:t>(in US$ thousands)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(4,104)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(5,135)</w:t>
            </w:r>
          </w:p>
        </w:tc>
        <w:tc>
          <w:tcPr>
            <w:tcW w:w="2480" w:type="dxa"/>
            <w:vAlign w:val="bottom"/>
            <w:gridSpan w:val="3"/>
          </w:tcPr>
          <w:p>
            <w:pPr>
              <w:jc w:val="right"/>
              <w:ind w:right="820"/>
              <w:spacing w:after="0"/>
              <w:rPr>
                <w:sz w:val="20"/>
                <w:szCs w:val="20"/>
                <w:color w:val="auto"/>
              </w:rPr>
            </w:pPr>
            <w:r>
              <w:rPr>
                <w:rFonts w:ascii="Arial" w:cs="Arial" w:eastAsia="Arial" w:hAnsi="Arial"/>
                <w:sz w:val="18"/>
                <w:szCs w:val="18"/>
                <w:color w:val="auto"/>
              </w:rPr>
              <w:t>(4,813)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(8,415)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(1,992)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24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(1,888)</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23,551</w:t>
            </w:r>
          </w:p>
        </w:tc>
        <w:tc>
          <w:tcPr>
            <w:tcW w:w="8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45,000</w:t>
            </w:r>
          </w:p>
        </w:tc>
        <w:tc>
          <w:tcPr>
            <w:tcW w:w="740" w:type="dxa"/>
            <w:vAlign w:val="bottom"/>
          </w:tcPr>
          <w:p>
            <w:pPr>
              <w:spacing w:after="0"/>
              <w:rPr>
                <w:sz w:val="18"/>
                <w:szCs w:val="18"/>
                <w:color w:val="auto"/>
              </w:rPr>
            </w:pP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122,441</w:t>
            </w: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exchange rate changes on cash and cash</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5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24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160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Net (decrease by) increase in cash and cash</w:t>
            </w: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17,421</w:t>
            </w:r>
          </w:p>
        </w:tc>
        <w:tc>
          <w:tcPr>
            <w:tcW w:w="8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36,835</w:t>
            </w:r>
          </w:p>
        </w:tc>
        <w:tc>
          <w:tcPr>
            <w:tcW w:w="2480" w:type="dxa"/>
            <w:vAlign w:val="bottom"/>
            <w:gridSpan w:val="3"/>
          </w:tcPr>
          <w:p>
            <w:pPr>
              <w:jc w:val="right"/>
              <w:ind w:right="820"/>
              <w:spacing w:after="0"/>
              <w:rPr>
                <w:sz w:val="20"/>
                <w:szCs w:val="20"/>
                <w:color w:val="auto"/>
              </w:rPr>
            </w:pPr>
            <w:r>
              <w:rPr>
                <w:rFonts w:ascii="Arial" w:cs="Arial" w:eastAsia="Arial" w:hAnsi="Arial"/>
                <w:sz w:val="18"/>
                <w:szCs w:val="18"/>
                <w:color w:val="auto"/>
              </w:rPr>
              <w:t>(6,541)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106,832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w:t>
            </w: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18,539</w:t>
            </w:r>
          </w:p>
        </w:tc>
        <w:tc>
          <w:tcPr>
            <w:tcW w:w="24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18,539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55,374</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18,539</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55,374</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11,998</w:t>
            </w:r>
          </w:p>
        </w:tc>
        <w:tc>
          <w:tcPr>
            <w:tcW w:w="8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162,206</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44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headed “Selected Consolidated Financial Data”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Momo connects people in a personal and lively way.</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Momo is a revolutionary mobile-based social networking platform. We enable users to establish and expand social relationships based on location and interests. Our platform includes our Momo mobile application and a variety of related features, functionalities, tools and services that we provide to users, customers and platform partners. We have established Momo as one of China’s leading mobile social networking platforms in less than three years since our inception.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focus on building and growing our user base and improving user experience. Our user base has grown rapidly since we launched Momo in August 2011, as evidenced by the following:</w:t>
      </w:r>
    </w:p>
    <w:p>
      <w:pPr>
        <w:spacing w:after="0" w:line="7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had 180.3 million registered users as of September 30, 2014, representing an increase of 160.8% from September 30,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MAUs reached 60.2 million in September 2014, representing an increase of 112.8% from September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average DAUs reached 25.5 million in September 2014, representing an increase of 140.6% from September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had 2.3 million members as of September 30, 2014, representing an increase of 659.9% from as of September 30, 2013.</w:t>
      </w:r>
    </w:p>
    <w:p>
      <w:pPr>
        <w:spacing w:after="0" w:line="130" w:lineRule="exact"/>
        <w:rPr>
          <w:rFonts w:ascii="Arial" w:cs="Arial" w:eastAsia="Arial" w:hAnsi="Arial"/>
          <w:sz w:val="18"/>
          <w:szCs w:val="18"/>
          <w:color w:val="auto"/>
        </w:rPr>
      </w:pPr>
    </w:p>
    <w:p>
      <w:pPr>
        <w:ind w:left="900" w:right="500" w:hanging="325"/>
        <w:spacing w:after="0" w:line="308"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users sent a daily average of 655.2 million one-to-one messages, representing a daily average of 26 one-to-one messages per DAU, in September 2014; 63.5% of these messages were exchanged among people who had already followed each other.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large, growing and engaged user base creates powerful network effects and a high barrier to entry.</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generate revenues primarily from membership subscription, mobile games and other services. Users can become Momo members by paying subscription fees, entitling them to additional functionalities and privileges in our mobile application. We offer mobile games developed by third-parties and share revenues generated by in-game purchases of virtual items with such developers. Our other services include paid emoticons and mobile marketing services. Our virtual store features stylish and trendy emoticons for sale, many of which are inspired by characters in popular culture. For mobile marketing services, we allow local merchants to set up business profile pages through our </w:t>
      </w:r>
      <w:r>
        <w:rPr>
          <w:rFonts w:ascii="Arial" w:cs="Arial" w:eastAsia="Arial" w:hAnsi="Arial"/>
          <w:sz w:val="18"/>
          <w:szCs w:val="18"/>
          <w:i w:val="1"/>
          <w:iCs w:val="1"/>
          <w:color w:val="auto"/>
        </w:rPr>
        <w:t>Dao Dian Tong</w:t>
      </w:r>
      <w:r>
        <w:rPr>
          <w:rFonts w:ascii="Arial" w:cs="Arial" w:eastAsia="Arial" w:hAnsi="Arial"/>
          <w:sz w:val="18"/>
          <w:szCs w:val="18"/>
          <w:color w:val="auto"/>
        </w:rPr>
        <w:t xml:space="preserve"> service and businesses to place banner ads in our mobile application.</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began monetizing in July 2013 and have achieved rapid growth from the increase in the scale of our social networking platform and the expansion of our service offerings. Our revenues increased significantly from US$0.8 million in the nine months ended September 30, 2013 to US$26.2 million in the nine months ended September 30, 2014. We had net losses of US$3.8 million, US$9.3 million and US$22.9 million in 2012, 2013 and the nine months ended September 30, 2014, respectively.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Our User Metrics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analyze a number of user traffic metrics to evaluate our business and operating performance, and make business plans and strategic decisions.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Active Users (MAUs)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MAUs are a measure of the size of our active user base, which has grown substantially since our inception. In September 2014, we had 60.2 million MAUs, compared to 28.3 million in September 2013, representing an increase of 112.8%.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Daily Active Users (DAUs)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DAUs are a measure of the size of our active user base and user engagement. In September 2014, we had 25.5 million average DAUs, compared to 10.6 million in September 2013, representing an increase of 140.6%.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charts show our MAUs and average DAUs for each of the months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169545</wp:posOffset>
            </wp:positionV>
            <wp:extent cx="5874385" cy="19983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7438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Members are Momo users who have paid the membership subscription fees. Our members reached 0.3 million, 0.6 million, 1.3 million, 1.7 million and 2.3 million as of September 30, 2013, December 31, 2013, March 31, 2014, June 30, 2014 and September 30, 2014,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chart shows the total number of our members as of the end of each of the quarters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169545</wp:posOffset>
            </wp:positionV>
            <wp:extent cx="2178050" cy="18522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780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Factors Affecting Our Results of Operations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b w:val="1"/>
          <w:bCs w:val="1"/>
          <w:i w:val="1"/>
          <w:iCs w:val="1"/>
          <w:color w:val="auto"/>
        </w:rPr>
        <w:t>User Growth</w:t>
      </w:r>
      <w:r>
        <w:rPr>
          <w:rFonts w:ascii="Arial" w:cs="Arial" w:eastAsia="Arial" w:hAnsi="Arial"/>
          <w:sz w:val="17"/>
          <w:szCs w:val="17"/>
          <w:color w:val="auto"/>
        </w:rPr>
        <w:t>. Our revenues are driven by the number of our paying users, which include our members as well as users who make purchases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emoticons or purchase virtual items in mobile games offered on our platform, which in turn are affected by the growth in our active user base, and strategies we pursue to achieve active user growth that may affect our costs and expenses and results of operations. We have experienced rapid user growth since our inception. Currently, membership subscription fees are the largest component of our revenues. The growth of our member base is driven primarily by the growth of the number of active users and our ability to convert a greater portion of our users into members.</w:t>
      </w:r>
    </w:p>
    <w:p>
      <w:pPr>
        <w:spacing w:after="0" w:line="173"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b w:val="1"/>
          <w:bCs w:val="1"/>
          <w:i w:val="1"/>
          <w:iCs w:val="1"/>
          <w:color w:val="auto"/>
        </w:rPr>
        <w:t>User Engagement</w:t>
      </w:r>
      <w:r>
        <w:rPr>
          <w:rFonts w:ascii="Arial" w:cs="Arial" w:eastAsia="Arial" w:hAnsi="Arial"/>
          <w:sz w:val="18"/>
          <w:szCs w:val="18"/>
          <w:color w:val="auto"/>
        </w:rPr>
        <w:t>. Changes in user engagement could affect our revenues and financial results. Active user engagement powered by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functionalities and rich content enables us to secure an abundant supply of user profiles and behavioral data, which is essential for our mobile marketing services and our ability to improve our service features, including our user tiering system.</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Monetization</w:t>
      </w:r>
      <w:r>
        <w:rPr>
          <w:rFonts w:ascii="Arial" w:cs="Arial" w:eastAsia="Arial" w:hAnsi="Arial"/>
          <w:sz w:val="16"/>
          <w:szCs w:val="16"/>
          <w:color w:val="auto"/>
        </w:rPr>
        <w:t>. We started monetization in the third quarter of 2013, and we are continuing to refine the ways to monetize our service offerings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adversely affecting user experience. We plan to increase the revenues generated through our membership subscription fees by offering more premium services to our members. We plan to partner with third-party game developers and to develop games in-house to offer more games tailored to our platform and our users. We will continue to build our mobile marketing business, including the development of more innovative native advertising and comprehensive mobile marketing solutions. Our future revenue growth will be affected by our ability to effectively execute our monetization strategies.</w:t>
      </w:r>
    </w:p>
    <w:p>
      <w:pPr>
        <w:spacing w:after="0" w:line="15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b w:val="1"/>
          <w:bCs w:val="1"/>
          <w:i w:val="1"/>
          <w:iCs w:val="1"/>
          <w:color w:val="auto"/>
        </w:rPr>
        <w:t>Investment in Technology Infrastructure and Talent</w:t>
      </w:r>
      <w:r>
        <w:rPr>
          <w:rFonts w:ascii="Arial" w:cs="Arial" w:eastAsia="Arial" w:hAnsi="Arial"/>
          <w:sz w:val="18"/>
          <w:szCs w:val="18"/>
          <w:color w:val="auto"/>
        </w:rPr>
        <w:t>. Our technology infrastructure is critical for us to retain and attract users, customers and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We must continue to upgrade and expand our technology infrastructure to keep pace with the growth of our business, to further enhance our big data analytical capabilities and develop new features and services for our platform.</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Our employee headcount has increased significantly as our business has grown and we expect this trend to continue for the foreseeable future. The number of our employees increased from 76 as of December 31, 2012 to 209 as of December 31, 2013 and further to 358 as of September 30, 2014. There is strong demand in China’s internet industry for talented and experienced personnel from fast-growing, large-scale social networking platforms. We must recruit, retain and motivate talented employees while controlling our personnel-related expenses, including share-based compensation expenses.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following table sets forth a summary of our consolidated results of operations for the periods indicated, both in absolute amounts and as percentages of our total net revenues. This information should be read together with our consolidated financial statements and related notes included elsewhere in this prospectus. The results of operations in any period are not necessarily indicative of the results that may be expected for any future period.</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w w:val="94"/>
              </w:rPr>
              <w:t>Year Ended December 31,</w:t>
            </w:r>
          </w:p>
        </w:tc>
        <w:tc>
          <w:tcPr>
            <w:tcW w:w="326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2013</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US$</w:t>
            </w:r>
          </w:p>
        </w:tc>
        <w:tc>
          <w:tcPr>
            <w:tcW w:w="106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US$</w:t>
            </w:r>
          </w:p>
        </w:tc>
        <w:tc>
          <w:tcPr>
            <w:tcW w:w="116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5"/>
          </w:tcPr>
          <w:p>
            <w:pPr>
              <w:jc w:val="right"/>
              <w:ind w:right="120"/>
              <w:spacing w:after="0" w:line="142" w:lineRule="exact"/>
              <w:rPr>
                <w:sz w:val="20"/>
                <w:szCs w:val="20"/>
                <w:color w:val="auto"/>
              </w:rPr>
            </w:pPr>
            <w:r>
              <w:rPr>
                <w:rFonts w:ascii="Arial" w:cs="Arial" w:eastAsia="Arial" w:hAnsi="Arial"/>
                <w:sz w:val="14"/>
                <w:szCs w:val="14"/>
                <w:b w:val="1"/>
                <w:bCs w:val="1"/>
                <w:color w:val="auto"/>
                <w:w w:val="94"/>
              </w:rPr>
              <w:t>(in US$ thousands, except for percentages)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3,129</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Cost and expenses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(2,927)</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(93.5)</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(10,391)</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(1,454)</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(3,532)</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(112.9)</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(2,330)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(5,222)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(3,018)</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(96.5)</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(1,521)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(26,214)</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(1,969)</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(3,010)</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(96.2)</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(2,054)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(7,559)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and expenses</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(3,842)</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(12,487)</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(399.1)</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(7,103)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(49,386)</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(3,842)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(299.1)</w:t>
            </w:r>
          </w:p>
        </w:tc>
        <w:tc>
          <w:tcPr>
            <w:tcW w:w="6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(6,286)</w:t>
            </w:r>
          </w:p>
        </w:tc>
        <w:tc>
          <w:tcPr>
            <w:tcW w:w="6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(298.1)</w:t>
            </w:r>
          </w:p>
        </w:tc>
        <w:tc>
          <w:tcPr>
            <w:tcW w:w="6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(6,259)</w:t>
            </w:r>
          </w:p>
        </w:tc>
        <w:tc>
          <w:tcPr>
            <w:tcW w:w="6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2012 and 2013, and the Nine Months Ended September 30, 2013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jc w:val="both"/>
        <w:ind w:right="60" w:firstLine="456"/>
        <w:spacing w:after="0" w:line="381" w:lineRule="auto"/>
        <w:rPr>
          <w:sz w:val="20"/>
          <w:szCs w:val="20"/>
          <w:color w:val="auto"/>
        </w:rPr>
      </w:pPr>
      <w:r>
        <w:rPr>
          <w:rFonts w:ascii="Arial" w:cs="Arial" w:eastAsia="Arial" w:hAnsi="Arial"/>
          <w:sz w:val="15"/>
          <w:szCs w:val="15"/>
          <w:color w:val="auto"/>
        </w:rPr>
        <w:t>We currently generate revenues primarily from membership subscription, mobile games and other services. Membership subscription and other service revenues are presented net of surcharges and taxes. Mobile games revenues are presented net of revenue sharing with game developers, surcharges and taxes.</w:t>
      </w:r>
    </w:p>
    <w:p>
      <w:pPr>
        <w:spacing w:after="0" w:line="10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Membership subscription. </w:t>
      </w:r>
      <w:r>
        <w:rPr>
          <w:rFonts w:ascii="Arial" w:cs="Arial" w:eastAsia="Arial" w:hAnsi="Arial"/>
          <w:sz w:val="18"/>
          <w:szCs w:val="18"/>
          <w:color w:val="auto"/>
        </w:rPr>
        <w:t>Momo users can become members by paying monthly, quarterly, semi-annual or annual membership fees. Momo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entitled to additional functionalities and privileges on our mobile application. Our membership subscription revenues were US$2.8 million in 2013, all of which were generated in the second half of 2013, and US$17.9 million in the nine months ended September 30, 2014, compared to US$0.8 million in the nine months ended September 30, 2013. The growth in membership subscription fees revenues is primarily driven by the significant increase in the number of our members since we started monetization. Our members increased from 0.3 million as of September 30, 2013 to 0.6 million as of December 31, 2013, and further to 2.3 million as of September 30, 2014. The increase in the number of our members was in turn driven by the growth in our active user base and increased user engagement. Our MAUs increased from 28.3 million in September 2013 to 33.7 million in December 2013, and further to 60.2 million in September 2014. Our average DAUs increased from 10.6 million in September 2013 to 12.8 million in December 2013, and further to 25.5 million in September 2014.</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Mobile games. </w:t>
      </w:r>
      <w:r>
        <w:rPr>
          <w:rFonts w:ascii="Arial" w:cs="Arial" w:eastAsia="Arial" w:hAnsi="Arial"/>
          <w:sz w:val="17"/>
          <w:szCs w:val="17"/>
          <w:color w:val="auto"/>
        </w:rPr>
        <w:t>We began to generate mobile games revenues in the fourth quarter of 2013, when we introduced two games on our platform.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two types of mobile game services, namely non-exclusive mobile game services and exclusive mobile game services. For non-exclusive mobile game services, we offer our mobile game platform for mobile games developed by third-party game developers, and we share user payments with such game developers. Game developers may offer their games on other platforms in addition to ours. For exclusive mobile game services, we offer our mobile game platform for mobile games developed by third-party game developers, and our platform is the only one through which players can access such games. As of September 30, 2014, we operated five games on our platform under non-exclusive mobile game services and one game under exclusive mobile game services. We expect the number of games operated under exclusive mobile game services to increase in the near future. Our revenues from mobile games depend on the number of paying users, which ultimately is determined by our ability to select and offer engaging games tailored to our platform and our user profiles. The number of paying users who purchased virtual items in mobile games offered on our platform increased from 35 thousand in the fourth quarter of 2013 to 160 thousand in the third quarter of 2014.</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Our other services include paid emoticons and mobile marketing services. Our virtual store began to generate revenues from stylish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trendy emoticons for sale in the third quarter of 2013. The growth of our paid emoticon revenues is also primarily attributable to the increase in our paying users, which is in turn driven by the size of our active user base. Our paid emoticons paying users increased from 50 thousand in the third quarter of 2013 to 93 thousand in the fourth quarter of 2013, and further to 206 thousand in the third quarter of 2014. We also generate revenues from our mobile marketing services, which currently include the setting up of business profile pages by local merchants through our </w:t>
      </w:r>
      <w:r>
        <w:rPr>
          <w:rFonts w:ascii="Arial" w:cs="Arial" w:eastAsia="Arial" w:hAnsi="Arial"/>
          <w:sz w:val="18"/>
          <w:szCs w:val="18"/>
          <w:i w:val="1"/>
          <w:iCs w:val="1"/>
          <w:color w:val="auto"/>
        </w:rPr>
        <w:t>Dao Dian Tong</w:t>
      </w:r>
      <w:r>
        <w:rPr>
          <w:rFonts w:ascii="Arial" w:cs="Arial" w:eastAsia="Arial" w:hAnsi="Arial"/>
          <w:sz w:val="18"/>
          <w:szCs w:val="18"/>
          <w:color w:val="auto"/>
        </w:rPr>
        <w:t xml:space="preserve"> service and the placement of banner displays in our mobile application. We began to offer mobile marketing services in the third quarter of 2013. Our other services revenues increased from US$0.2 million in 2013 to US$1.5 million in the nine months ended September 30, 2014, compared to US$58 thousand in the nine months ended September 30, 2013.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sets forth the components of our net revenues by amounts and percentages of our total net revenues for the periods presented:</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580" w:type="dxa"/>
            <w:vAlign w:val="bottom"/>
            <w:gridSpan w:val="7"/>
            <w:vMerge w:val="restart"/>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580" w:type="dxa"/>
            <w:vAlign w:val="bottom"/>
            <w:gridSpan w:val="7"/>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40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US$</w:t>
            </w:r>
          </w:p>
        </w:tc>
        <w:tc>
          <w:tcPr>
            <w:tcW w:w="8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US$</w:t>
            </w: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gridSpan w:val="10"/>
          </w:tcPr>
          <w:p>
            <w:pPr>
              <w:jc w:val="right"/>
              <w:ind w:right="640"/>
              <w:spacing w:after="0" w:line="142" w:lineRule="exact"/>
              <w:rPr>
                <w:sz w:val="20"/>
                <w:szCs w:val="20"/>
                <w:color w:val="auto"/>
              </w:rPr>
            </w:pPr>
            <w:r>
              <w:rPr>
                <w:rFonts w:ascii="Arial" w:cs="Arial" w:eastAsia="Arial" w:hAnsi="Arial"/>
                <w:sz w:val="14"/>
                <w:szCs w:val="14"/>
                <w:b w:val="1"/>
                <w:bCs w:val="1"/>
                <w:color w:val="auto"/>
              </w:rPr>
              <w:t>(in US$ thousands, except for percentages)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Membership subscription</w:t>
            </w:r>
          </w:p>
        </w:tc>
        <w:tc>
          <w:tcPr>
            <w:tcW w:w="7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2,808</w:t>
            </w:r>
          </w:p>
        </w:tc>
        <w:tc>
          <w:tcPr>
            <w:tcW w:w="4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89.7</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17,853</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Mobile games</w:t>
            </w:r>
          </w:p>
        </w:tc>
        <w:tc>
          <w:tcPr>
            <w:tcW w:w="7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6,891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services</w:t>
            </w:r>
          </w:p>
        </w:tc>
        <w:tc>
          <w:tcPr>
            <w:tcW w:w="7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7.4</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1,461</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7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26,205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 of revenues consists primarily of costs associated with the operation and maintenance of our platform, including bandwidth costs, commission fees, depreciation, SMS costs and labor costs. Bandwidth costs, including internet data center and content delivery network fees, consist of fees that we pay to telecommunication carriers and other service providers for telecommunication services, hosting our servers at their internet data centers, and providing content and application delivery services. Commission fees are payments made to third-party application stores and other payment channels for distributing our mobile application and membership subscription services. Users can make payments for such services through third-party online and mobile phone payment channels. These third-party payment channels typically charge a handling fee for their services. Depreciation mainly consists of depreciation cost on our servers, computers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other equipment. SMS costs consist of fees that we pay to telecommunication carriers for text message services provided to our users for verification purpose.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Labor costs consist of salaries and benefits, including share-based compensation expenses, for our employees involved in the operation of our platform.</w:t>
      </w:r>
    </w:p>
    <w:p>
      <w:pPr>
        <w:spacing w:after="0" w:line="234"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following table sets forth the components of our cost of revenues by amounts and percentages of our total cost of revenues for the periods presented: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w w:val="92"/>
              </w:rPr>
              <w:t>Nine Months Ended 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4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800" w:type="dxa"/>
            <w:vAlign w:val="bottom"/>
            <w:tcBorders>
              <w:bottom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40" w:type="dxa"/>
            <w:vAlign w:val="bottom"/>
            <w:gridSpan w:val="8"/>
          </w:tcPr>
          <w:p>
            <w:pPr>
              <w:ind w:left="220"/>
              <w:spacing w:after="0" w:line="142" w:lineRule="exact"/>
              <w:rPr>
                <w:sz w:val="20"/>
                <w:szCs w:val="20"/>
                <w:color w:val="auto"/>
              </w:rPr>
            </w:pPr>
            <w:r>
              <w:rPr>
                <w:rFonts w:ascii="Arial" w:cs="Arial" w:eastAsia="Arial" w:hAnsi="Arial"/>
                <w:sz w:val="14"/>
                <w:szCs w:val="14"/>
                <w:b w:val="1"/>
                <w:bCs w:val="1"/>
                <w:color w:val="auto"/>
              </w:rPr>
              <w:t>(in US$ thousands, except for percentages)</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Bandwidth costs</w:t>
            </w:r>
          </w:p>
        </w:tc>
        <w:tc>
          <w:tcPr>
            <w:tcW w:w="48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(1,265)</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43.2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(585)</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48.9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(4,526)</w:t>
            </w:r>
          </w:p>
        </w:tc>
        <w:tc>
          <w:tcPr>
            <w:tcW w:w="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Commission fees</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(2,443)</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48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(387)</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(1,112)</w:t>
            </w:r>
          </w:p>
        </w:tc>
        <w:tc>
          <w:tcPr>
            <w:tcW w:w="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SMS costs</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(1,027)</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Labor costs</w:t>
            </w:r>
          </w:p>
        </w:tc>
        <w:tc>
          <w:tcPr>
            <w:tcW w:w="48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(412)</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14.1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c>
          <w:tcPr>
            <w:tcW w:w="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costs</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48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(2,927)</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(1,198)</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(10,391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cost of revenues was US$2.9 million in 2013 and US$10.4 million in the nine months ended September 30, 2014, compared to US$1.2 million in the nine months ended September 30, 2013. The significant increase in cost of revenues was primarily due to our rapid business expansion during the relevant periods. Prior to generating revenues in the third quarter of 2013, we recorded US$0.6 million and US$0.8 million of bandwidth costs and SMS costs in general and administrative expenses in 2012 and the first half of 2013, respectively. We expect our cost of revenues to increase in the future as we continue to enhance the capability and reliability of our infrastructure to support user growth and increased activity on our platform.</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salaries and benefits, including share-based compensation expenses, for research and development personnel and rental expenses. Expenditures incurred during the research phase are expensed as incurred. We expect our research and development expenses to increase as we expand our research and development team, to further enhance our big data analytical capabilities and develop new features and services for our platform.</w:t>
      </w:r>
    </w:p>
    <w:p>
      <w:pPr>
        <w:spacing w:after="0" w:line="18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i w:val="1"/>
          <w:iCs w:val="1"/>
          <w:color w:val="auto"/>
        </w:rPr>
        <w:t>Nine months ended September 30, 2014 compared to nine months ended September 30, 2013</w:t>
      </w:r>
      <w:r>
        <w:rPr>
          <w:rFonts w:ascii="Arial" w:cs="Arial" w:eastAsia="Arial" w:hAnsi="Arial"/>
          <w:sz w:val="17"/>
          <w:szCs w:val="17"/>
          <w:color w:val="auto"/>
        </w:rPr>
        <w:t>. Our research and development expenses increased by</w:t>
      </w:r>
      <w:r>
        <w:rPr>
          <w:rFonts w:ascii="Arial" w:cs="Arial" w:eastAsia="Arial" w:hAnsi="Arial"/>
          <w:sz w:val="17"/>
          <w:szCs w:val="17"/>
          <w:i w:val="1"/>
          <w:iCs w:val="1"/>
          <w:color w:val="auto"/>
        </w:rPr>
        <w:t xml:space="preserve"> </w:t>
      </w:r>
      <w:r>
        <w:rPr>
          <w:rFonts w:ascii="Arial" w:cs="Arial" w:eastAsia="Arial" w:hAnsi="Arial"/>
          <w:sz w:val="17"/>
          <w:szCs w:val="17"/>
          <w:color w:val="auto"/>
        </w:rPr>
        <w:t>124.0% from US$2.3 million in the nine months ended September 30, 2013 to US$5.2 million in the nine months ended September 30, 2014. This increase was primarily due to a US$2.2 million increase in salaries and benefits for research and development personnel. Our research and development headcount increased from 77 as of September 30, 2013 to 148 as of September 30, 2014.</w:t>
      </w:r>
    </w:p>
    <w:p>
      <w:pPr>
        <w:spacing w:after="0" w:line="17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 xml:space="preserve">2013 compared to 2012. </w:t>
      </w:r>
      <w:r>
        <w:rPr>
          <w:rFonts w:ascii="Arial" w:cs="Arial" w:eastAsia="Arial" w:hAnsi="Arial"/>
          <w:sz w:val="18"/>
          <w:szCs w:val="18"/>
          <w:color w:val="auto"/>
        </w:rPr>
        <w:t>Our research and development expenses increased by 142.9% from US$1.5 million in 2012 to US$3.5 million in 2013.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a US$1.7 million increase in salaries and benefits for research and development personnel. Our research and development headcount increased from 43 as of December 31, 2012 to 101 as of December 31, 2013.</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Sales and marketing expenses consist primarily of general marketing and promotional expenses, as well as salaries and benefits, including share-based compensation expenses, for our sales and marketing personnel. We expect our sales and marketing expenses to increase as we plan to enhance our brand awareness and attract new users.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Nine months ended September 30, 2014 compared to nine months ended September 30, 2013</w:t>
      </w:r>
      <w:r>
        <w:rPr>
          <w:rFonts w:ascii="Arial" w:cs="Arial" w:eastAsia="Arial" w:hAnsi="Arial"/>
          <w:sz w:val="16"/>
          <w:szCs w:val="16"/>
          <w:color w:val="auto"/>
        </w:rPr>
        <w:t>. Our sales and marketing expenses increased from US$1.5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nine months ended September 30, 2013 to US$26.2 million in the nine months ended September 30, 2014, primarily due to a US$21.3 million increase in marketing and promotional expenses to enhance our brand awareness and a US$2.5 million increase in salaries and other benefits for our sales and marketing personnel. Our sales and marketing headcount nearly tripled, from 43 as of September 30, 2013 to 120 as of September 30, 2014.</w:t>
      </w:r>
    </w:p>
    <w:p>
      <w:pPr>
        <w:spacing w:after="0" w:line="154"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i w:val="1"/>
          <w:iCs w:val="1"/>
          <w:color w:val="auto"/>
        </w:rPr>
        <w:t xml:space="preserve">2013 compared to 2012. </w:t>
      </w:r>
      <w:r>
        <w:rPr>
          <w:rFonts w:ascii="Arial" w:cs="Arial" w:eastAsia="Arial" w:hAnsi="Arial"/>
          <w:sz w:val="16"/>
          <w:szCs w:val="16"/>
          <w:color w:val="auto"/>
        </w:rPr>
        <w:t>Our sales and marketing expenses increased from $0.4 million in 2012 to $3.0 million in 2013, primarily due to a US$1.0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salaries and other benefits for our sales and marketing personnel, and a US$1.0 million increase in marketing and promotional expenses to enhance our brand awareness. Our sales and marketing headcount more than doubled, from 25 as of December 31, 2012 to 57 as of December 31, 2013.</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General and administrative expenses consist primarily of salaries and expenses, including share-based compensation expense, professional fees and rental expenses. We expect our general and administrative expenses to increase as our business grows and we comply with our reporting obligations under U.S. securities laws as a public company.</w:t>
      </w:r>
    </w:p>
    <w:p>
      <w:pPr>
        <w:spacing w:after="0" w:line="18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i w:val="1"/>
          <w:iCs w:val="1"/>
          <w:color w:val="auto"/>
        </w:rPr>
        <w:t xml:space="preserve">Nine months ended September 30, 2014 compared to nine months ended September 30, 2013. </w:t>
      </w:r>
      <w:r>
        <w:rPr>
          <w:rFonts w:ascii="Arial" w:cs="Arial" w:eastAsia="Arial" w:hAnsi="Arial"/>
          <w:sz w:val="17"/>
          <w:szCs w:val="17"/>
          <w:color w:val="auto"/>
        </w:rPr>
        <w:t>Our general and administrative expenses increased from</w:t>
      </w:r>
      <w:r>
        <w:rPr>
          <w:rFonts w:ascii="Arial" w:cs="Arial" w:eastAsia="Arial" w:hAnsi="Arial"/>
          <w:sz w:val="17"/>
          <w:szCs w:val="17"/>
          <w:i w:val="1"/>
          <w:iCs w:val="1"/>
          <w:color w:val="auto"/>
        </w:rPr>
        <w:t xml:space="preserve"> </w:t>
      </w:r>
      <w:r>
        <w:rPr>
          <w:rFonts w:ascii="Arial" w:cs="Arial" w:eastAsia="Arial" w:hAnsi="Arial"/>
          <w:sz w:val="17"/>
          <w:szCs w:val="17"/>
          <w:color w:val="auto"/>
        </w:rPr>
        <w:t>US$2.1 million in the nine months ended September 30, 2013 to US$7.6 million in the nine months ended September 30, 2014. This increase was primarily due to a US$1.1 million increase in professional fees for legal, auditing and other services, a US$4.5 million increase in salaries and other benefits including share-based compensation expenses for our general and administrative personnel, and increase of rental expenses as a result of moving into a new headquarters office in May 2014, offset by a decrease in costs associated with the maintenance of our platform. We included bandwidth costs and SMS costs in an amount of US$0.8 million in the first half of 2013 in our general and administrative expenses prior to our monetization in the third quarter of 2013, but have included them in cost of revenues since then.</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 xml:space="preserve">2013 compared to 2012. </w:t>
      </w:r>
      <w:r>
        <w:rPr>
          <w:rFonts w:ascii="Arial" w:cs="Arial" w:eastAsia="Arial" w:hAnsi="Arial"/>
          <w:sz w:val="16"/>
          <w:szCs w:val="16"/>
          <w:color w:val="auto"/>
        </w:rPr>
        <w:t>Our general and administrative expenses increased by 52.9% from US$2.0 million in 2012 to US$3.0 million in 2013.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due to an increase of US$0.6 million in salaries and other benefits for our general and administrative personnel, and an increase in costs associated with the maintenance of our platform. We included bandwidth costs and SMS costs in total of US$0.6 million in 2012 and US$0.8 million in 2013 in our general and administrative expenses prior to our monetization in the third quarter of 2013, but have included them in cost of revenues since then.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i w:val="1"/>
          <w:iCs w:val="1"/>
          <w:color w:val="auto"/>
        </w:rPr>
        <w:t>Nine months ended September 30, 2014 compared to nine months ended September 30, 2013</w:t>
      </w:r>
      <w:r>
        <w:rPr>
          <w:rFonts w:ascii="Arial" w:cs="Arial" w:eastAsia="Arial" w:hAnsi="Arial"/>
          <w:sz w:val="17"/>
          <w:szCs w:val="17"/>
          <w:color w:val="auto"/>
        </w:rPr>
        <w:t>. As a result of the foregoing, we recorded net loss of</w:t>
      </w:r>
      <w:r>
        <w:rPr>
          <w:rFonts w:ascii="Arial" w:cs="Arial" w:eastAsia="Arial" w:hAnsi="Arial"/>
          <w:sz w:val="17"/>
          <w:szCs w:val="17"/>
          <w:i w:val="1"/>
          <w:iCs w:val="1"/>
          <w:color w:val="auto"/>
        </w:rPr>
        <w:t xml:space="preserve"> </w:t>
      </w:r>
      <w:r>
        <w:rPr>
          <w:rFonts w:ascii="Arial" w:cs="Arial" w:eastAsia="Arial" w:hAnsi="Arial"/>
          <w:sz w:val="17"/>
          <w:szCs w:val="17"/>
          <w:color w:val="auto"/>
        </w:rPr>
        <w:t>US$6.3 million in the nine months ended September 30, 2013 and US$22.9 million in the nine months ended September 30, 2014.</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2013 compared to 2012. </w:t>
      </w:r>
      <w:r>
        <w:rPr>
          <w:rFonts w:ascii="Arial" w:cs="Arial" w:eastAsia="Arial" w:hAnsi="Arial"/>
          <w:sz w:val="18"/>
          <w:szCs w:val="18"/>
          <w:color w:val="auto"/>
        </w:rPr>
        <w:t>As a result of the foregoing, we recorded net loss of US$3.8 million in 2012 and US$9.3 million in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following table sets forth our unaudited consolidated quarterly results of operations for each of the seven quarters in the period from January 1, 2013 to September 30, 2014. You should read the following table in conjunction with our consolidated financial statements and the related notes included elsewhere in this prospectus. We have prepared this unaudited condensed consolidated quarterly financial data on the same basis as we have prepared our audited consolidated financial statements. The unaudited condensed consolidated financial data includes all adjustments, consisting only of normal and recurring adjustments, that we consider necessary for a fair statement of our financial position and operating results for the quarters presented.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2"/>
              </w:rPr>
              <w:t>June 30,</w:t>
            </w:r>
          </w:p>
        </w:tc>
        <w:tc>
          <w:tcPr>
            <w:tcW w:w="10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12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9"/>
              </w:rPr>
              <w:t>March 31,</w:t>
            </w:r>
          </w:p>
        </w:tc>
        <w:tc>
          <w:tcPr>
            <w:tcW w:w="900" w:type="dxa"/>
            <w:vAlign w:val="bottom"/>
            <w:gridSpan w:val="2"/>
          </w:tcPr>
          <w:p>
            <w:pPr>
              <w:jc w:val="right"/>
              <w:ind w:right="339"/>
              <w:spacing w:after="0" w:line="119" w:lineRule="exact"/>
              <w:rPr>
                <w:sz w:val="20"/>
                <w:szCs w:val="20"/>
                <w:color w:val="auto"/>
              </w:rPr>
            </w:pPr>
            <w:r>
              <w:rPr>
                <w:rFonts w:ascii="Arial" w:cs="Arial" w:eastAsia="Arial" w:hAnsi="Arial"/>
                <w:sz w:val="13"/>
                <w:szCs w:val="13"/>
                <w:b w:val="1"/>
                <w:bCs w:val="1"/>
                <w:color w:val="auto"/>
                <w:w w:val="96"/>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4"/>
                <w:szCs w:val="14"/>
                <w:b w:val="1"/>
                <w:bCs w:val="1"/>
                <w:color w:val="auto"/>
                <w:w w:val="96"/>
              </w:rPr>
              <w:t>2013</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(in US$ thousands)</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Selected Data of Consolidated Statements of</w:t>
            </w: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Operations:</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b w:val="1"/>
                <w:bCs w:val="1"/>
                <w:color w:val="auto"/>
              </w:rPr>
              <w:t>Net revenues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Membership subscription</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759</w:t>
            </w:r>
          </w:p>
        </w:tc>
        <w:tc>
          <w:tcPr>
            <w:tcW w:w="15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2,049</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3,166</w:t>
            </w:r>
          </w:p>
        </w:tc>
        <w:tc>
          <w:tcPr>
            <w:tcW w:w="90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5,578</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280"/>
              <w:spacing w:after="0" w:line="149" w:lineRule="exact"/>
              <w:rPr>
                <w:sz w:val="20"/>
                <w:szCs w:val="20"/>
                <w:color w:val="auto"/>
              </w:rPr>
            </w:pPr>
            <w:r>
              <w:rPr>
                <w:rFonts w:ascii="Arial" w:cs="Arial" w:eastAsia="Arial" w:hAnsi="Arial"/>
                <w:sz w:val="14"/>
                <w:szCs w:val="14"/>
                <w:color w:val="auto"/>
              </w:rPr>
              <w:t>Mobile games</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92</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1,963</w:t>
            </w:r>
          </w:p>
        </w:tc>
        <w:tc>
          <w:tcPr>
            <w:tcW w:w="90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2,475</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services</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5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171</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317</w:t>
            </w:r>
          </w:p>
        </w:tc>
        <w:tc>
          <w:tcPr>
            <w:tcW w:w="90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387</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net revenues</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2,312</w:t>
            </w:r>
          </w:p>
        </w:tc>
        <w:tc>
          <w:tcPr>
            <w:tcW w:w="40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5,446</w:t>
            </w:r>
          </w:p>
        </w:tc>
        <w:tc>
          <w:tcPr>
            <w:tcW w:w="38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8,440</w:t>
            </w:r>
          </w:p>
        </w:tc>
        <w:tc>
          <w:tcPr>
            <w:tcW w:w="38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12,319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and expenses</w:t>
            </w:r>
            <w:r>
              <w:rPr>
                <w:rFonts w:ascii="Arial" w:cs="Arial" w:eastAsia="Arial" w:hAnsi="Arial"/>
                <w:sz w:val="12"/>
                <w:szCs w:val="12"/>
                <w:b w:val="1"/>
                <w:bCs w:val="1"/>
                <w:color w:val="auto"/>
              </w:rPr>
              <w:t>(1)</w:t>
            </w: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280"/>
              <w:spacing w:after="0" w:line="149" w:lineRule="exact"/>
              <w:rPr>
                <w:sz w:val="20"/>
                <w:szCs w:val="20"/>
                <w:color w:val="auto"/>
              </w:rPr>
            </w:pPr>
            <w:r>
              <w:rPr>
                <w:rFonts w:ascii="Arial" w:cs="Arial" w:eastAsia="Arial" w:hAnsi="Arial"/>
                <w:sz w:val="14"/>
                <w:szCs w:val="14"/>
                <w:color w:val="auto"/>
              </w:rPr>
              <w:t>Cost of revenues</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(1,198)</w:t>
            </w:r>
          </w:p>
        </w:tc>
        <w:tc>
          <w:tcPr>
            <w:tcW w:w="15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(1,729)</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(2,593)</w:t>
            </w:r>
          </w:p>
        </w:tc>
        <w:tc>
          <w:tcPr>
            <w:tcW w:w="90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(3,444)</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Research and development expenses</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(710)</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(777)</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15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(1,202)</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(1,313)</w:t>
            </w:r>
          </w:p>
        </w:tc>
        <w:tc>
          <w:tcPr>
            <w:tcW w:w="90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(1,577)</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 expenses</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(229)</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(504)</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(788)</w:t>
            </w:r>
          </w:p>
        </w:tc>
        <w:tc>
          <w:tcPr>
            <w:tcW w:w="15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(1,497)</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(1,872)</w:t>
            </w:r>
          </w:p>
        </w:tc>
        <w:tc>
          <w:tcPr>
            <w:tcW w:w="90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(7,199)</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 expenses</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(616)</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(1,023)</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(415)</w:t>
            </w:r>
          </w:p>
        </w:tc>
        <w:tc>
          <w:tcPr>
            <w:tcW w:w="15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(956)</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(993)</w:t>
            </w:r>
          </w:p>
        </w:tc>
        <w:tc>
          <w:tcPr>
            <w:tcW w:w="90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(3,340)</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163"/>
        </w:trPr>
        <w:tc>
          <w:tcPr>
            <w:tcW w:w="3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cost and expenses</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(1,555)</w:t>
            </w:r>
          </w:p>
        </w:tc>
        <w:tc>
          <w:tcPr>
            <w:tcW w:w="4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(2,304)</w:t>
            </w:r>
          </w:p>
        </w:tc>
        <w:tc>
          <w:tcPr>
            <w:tcW w:w="4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(5,384)</w:t>
            </w:r>
          </w:p>
        </w:tc>
        <w:tc>
          <w:tcPr>
            <w:tcW w:w="4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(6,771)</w:t>
            </w:r>
          </w:p>
        </w:tc>
        <w:tc>
          <w:tcPr>
            <w:tcW w:w="3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(15,560</w:t>
            </w:r>
          </w:p>
        </w:tc>
        <w:tc>
          <w:tcPr>
            <w:tcW w:w="380" w:type="dxa"/>
            <w:vAlign w:val="bottom"/>
          </w:tcPr>
          <w:p>
            <w:pPr>
              <w:jc w:val="right"/>
              <w:ind w:right="299"/>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Loss from operations</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(1,555)</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(2,304)</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(2,427)</w:t>
            </w:r>
          </w:p>
        </w:tc>
        <w:tc>
          <w:tcPr>
            <w:tcW w:w="15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(3,072)</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(1,325)</w:t>
            </w:r>
          </w:p>
        </w:tc>
        <w:tc>
          <w:tcPr>
            <w:tcW w:w="90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(7,120)</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4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15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92</w:t>
            </w:r>
          </w:p>
        </w:tc>
        <w:tc>
          <w:tcPr>
            <w:tcW w:w="90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89</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loss</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(1,551)</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(2,289)</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(2,419)</w:t>
            </w:r>
          </w:p>
        </w:tc>
        <w:tc>
          <w:tcPr>
            <w:tcW w:w="15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(3,067)</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(1,233)</w:t>
            </w:r>
          </w:p>
        </w:tc>
        <w:tc>
          <w:tcPr>
            <w:tcW w:w="90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(7,031)</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Share-based compensation expenses were allocated in cost and expenses as follows: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Three months ended,</w:t>
            </w: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9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6"/>
              </w:rPr>
              <w:t>June 30,</w:t>
            </w:r>
          </w:p>
        </w:tc>
        <w:tc>
          <w:tcPr>
            <w:tcW w:w="10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40" w:type="dxa"/>
            <w:vAlign w:val="bottom"/>
          </w:tcPr>
          <w:p>
            <w:pPr>
              <w:spacing w:after="0"/>
              <w:rPr>
                <w:sz w:val="10"/>
                <w:szCs w:val="10"/>
                <w:color w:val="auto"/>
              </w:rPr>
            </w:pPr>
          </w:p>
        </w:tc>
        <w:tc>
          <w:tcPr>
            <w:tcW w:w="13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9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6"/>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left="268"/>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(in US$ thousands)</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4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25</w:t>
            </w: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59</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59</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4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95</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94</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 expenses</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16</w:t>
            </w: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4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92</w:t>
            </w: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112</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4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105</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218</w:t>
            </w:r>
          </w:p>
        </w:tc>
        <w:tc>
          <w:tcPr>
            <w:tcW w:w="4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750</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1,432</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4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180</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182</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4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962</w:t>
            </w: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1,663</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net revenues increased from US$0.8 million in the third quarter of 2013 to US$12.3 million in the third quarter of 2014, outpacing the rate of increase of our cost of revenues during the same periods. We included bandwidth costs and SMS costs in our general and administrative expenses prior to the beginning of our monetization in the third quarter of 2013, and have included them in cost of revenues since then.</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Because we only started to monetize from the third quarter of 2013, we cannot confirm or otherwise describe the seasonality of our business as a result of this very short history of monetization.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We are incorporated in the Cayman Islands. Under the current law of the Cayman Islands, we are not subject to income or capital gains tax in the Cayman Islands. In addition, our payment of dividends to our shareholders, if any, is not subject to withholding tax in the Cayman Islands.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11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Our subsidiary incorporated in the United States is subject to state income tax and federal income tax at different tax rates, depending on taxable income levels. As our US subsidiary did not have any taxable income, no income tax expense was provided for in the nine months ended September 30, 2014.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subsidiary incorporated in Hong Kong is subject to the uniform tax rate of 16.5%. Under the Hong Kong tax laws, it is exempted from the Hong Kong income tax on its foreign-derived income and there are no withholding taxes in Hong Kong on the remittance of dividends. No provision for Hong Kong tax has been made in our consolidated financial statements, as our Hong Kong subsidiary had not generated any assessable income in 2012, 2013 or the nine months ended September 30,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Pursuant to the EIT Law, which became effective on January 1, 2008, foreign-invested enterprises and domestic companies are subject to enterprise income tax at a uniform rate of 25%. In August 2014, Beijing Momo IT was qualified as a software enterprise. As such, Beijing Momo IT will be exempt from income taxes for two years beginning in its first profitable year followed by a tax rate of 12.5% for the succeeding three years. The other entities incorporated in the PRC are subject to an enterprise income tax at a rate of 25%.</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As we had net operating losses for the years ended December 31, 2012 and 2013, as well as the nine months ended September 30, 2014, we have not incurred any PRC income taxes for those periods.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Effective January 1, 2012, the PRC Ministry of Finance and the State Administration of Taxation launched a Business Tax to Value-Added Tax Transformation Pilot Program, or the VAT Pilot Program, which imposes VAT in lieu of business tax for certain “modern service industries” in certain regions and eventually expands to nation-wide in 2013. According to the implementation circulars released by the Ministry of Finance and the State Administration of Taxation on the VAT Pilot Program, the “modern service industries” include research, development and technology services, information technology services, cultural innovation services, logistics support, lease of corporeal properties, attestation and consulting services. All of our entities were subject to the VAT Pilot Program as of September 30, 2014, or specifically, VAT at rate of 6% in lieu of business tax. With the adoption of the VAT Pilot Program, our revenues are subject to VAT payable on goods sold or taxable services provided by a general VAT taxpayer for a taxable period is the net balance of the output VAT for the period after crediting the input VAT for the period. Hence, the amount of VAT payable does not result directly from output VAT generated from goods sold or taxable services provided. Therefore, we have adopted the net presentation of VAT.</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Pursuant to applicable PRC laws and regulations, arrangements and transactions among related parties may be subject to audit or challenge by the PRC tax authorities. We may be subject to adverse tax consequences and our consolidated results of operations may be adversely affected if the PRC tax authorities determine that the contractual arrangements among our PRC subsidiary, Beijing Momo and its shareholders are not on an arm’s length basis and therefore constitute favorable transfer pricing. See “Risk Factors—Risks Related to Our Corporate Structure—Contractual arrangements we have entered into with Beijing Momo may be subject 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scrutiny by the PRC tax authorities. A finding that we owe additional taxes could significantly reduce our consolidated net income and the value of your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In connection with the audit of our consolidated financial statements as of and for the two years ended December 31, 2012 and 2013, we and our independent registered public accounting firm identified two material weaknesses as of December 31, 2013. As defined in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material weaknesses identified related to (i) the lack of accounting personnel with appropriate knowledge of U.S. GAAP and (ii) the lack of a comprehensive accounting policies and procedures manual in accordance with U.S. GAAP. Neither we nor our independent registered public accounting firm undertook a comprehensive assessment of our internal control under the Sarbanes-Oxley Act for purposes of identifying and reporting any weakness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remedy our identified material weaknesses, we have adopted several measures to improve our internal control over financial reporting, including</w:t>
      </w:r>
    </w:p>
    <w:p>
      <w:pPr>
        <w:spacing w:after="0" w:line="46" w:lineRule="exact"/>
        <w:rPr>
          <w:sz w:val="20"/>
          <w:szCs w:val="20"/>
          <w:color w:val="auto"/>
        </w:rPr>
      </w:pPr>
    </w:p>
    <w:p>
      <w:pPr>
        <w:ind w:right="40" w:firstLine="8"/>
        <w:spacing w:after="0" w:line="252" w:lineRule="auto"/>
        <w:tabs>
          <w:tab w:leader="none" w:pos="2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a U.S. GAAP financial reporting team in 2014, including hiring a chief financial officer, who is AICPA qualified, a financial controller and a financial reporting manager, each of whom has extensive U.S. GAAP financial accounting and reporting experience at big four international accounting firms and U.S.-listed public companies based in China; (ii) the periodical evaluation of the sufficiency of our accounting resources and needs for recruiting additional personnel and providing our accounting staff with regular U.S. GAAP training; and (iii) developing and implementing a full set of U.S. GAAP accounting policies and financial reporting procedures as well as related internal control policies, including implementing a comprehensive accounting manual to guide the day-to-day accounting operation and reporting work. We expect to complete the measures above as soon as practicable and we will continue to implement measures to remedy our internal control deficiencies in order to meet the deadline imposed under Section 404 of the Sarbanes-Oxley Act.</w:t>
      </w:r>
    </w:p>
    <w:p>
      <w:pPr>
        <w:spacing w:after="0" w:line="19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See “Risk Factors—Risks Related to Our Business and Industry—If we fail to implement and maintain an effective system of internal controls, we may be unable to accurately report our results of operations or prevent fraud or fail to meet our reporting obligations, and investor confidence and the market price of our ADSs may be materially and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date, we have financed our operations primarily through the issuance of preferred shares in private placements. As of December 31, 2012 and 2013 and September 30, 2014, we had US$18.5 million, US$55.4 million and US$162.2 million, respectively, in cash and cash equivalents. Our cash and cash equivalents primarily consist of cash on hand and highly liquid investments, which are unrestricted from withdrawal or use, or which have original maturities of three months or less when purchased. We believe that our current cash and cash equivalents and our anticipated cash flows from operations will be sufficient to meet our anticipated working capital requirements and capital expenditures for the 12 months following this offering. We may, however, need additional capital in the future to fund our continued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the future, we may rely significantly on dividends and other distributions paid by our PRC subsidiary for our cash and financing requirements. There may be restrictions on the dividends and other distributions by our PRC subsidiary. The PRC tax authorities may require us to adjust our taxable income under the contractual arrangements that our PRC subsidiary currently has in place with our consolidated affiliated entity in a way that could materially and adversely affect the ability of our PRC subsidiary to pay dividends and make other distributions to us. In addition, under PRC laws and regulations, our PRC subsidiary may pay dividends only out of its accumulated profits as determined in accordance with PRC accounting standards and regulations. Our PRC subsidiary is required to set aside at least 10% of its accumulated after-tax profits each year, if any, to fund a statutory reserve fund, until the aggregate amount of such fund reaches 50% of its respective registered capital. At its discretion, our PRC subsidiary may allocate a portion of its after-tax profits based on PRC accounting standards to staff welfare and bonus funds. The reserve fund and the staff welfare and bonus funds cannot be distributed as cash dividends. See “Risk Factors—Risks Related to Our Corporate Structure—We may rely on dividends paid by our PRC subsidiary to fund any cash and financing requirements we may have. Any limitation on the ability of our PRC subsidiary to pay dividends to us could have a material adverse effect on our ability to conduct our business and to pay dividends to holders of the ADSs and our ordinary shares.” Furthermore, our investments made as registered capital and additional paid-in capital of our PRC subsidiary, consolidated affiliated entity and its subsidiary are also subject to restrictions on their distribution and transfer according to PRC laws and regulations.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a result, our PRC subsidiary, consolidated affiliated entity and its subsidiary in China are restricted in their ability to transfer their net assets to us in the form of cash dividends, loans or advances. As of September 30, 2014, the amount of the restricted net assets, which represents registered capital and additional paid-in capital cumulative appropriations made to statutory reserves, was US$42.1 million. As of September 30, 2014, we held cash and cash equivalents of US$147.4 million in aggregate outside of the PRC and US$14.8 million in aggregate in the PRC, of which US$14.6 million was denominated in RMB and US$0.2 million was in U.S. dollars. Of such cash and cash equivalents held in the PRC, our PRC subsidiary held cash and cash equivalents in the amount of US$0.2 million and RMB1.3 million (US$0.2 million), and our consolidated variable interest entity and its subsidiary held cash and cash equivalents in the amount of RMB88.0 million (US$14.4 million).</w:t>
      </w:r>
    </w:p>
    <w:p>
      <w:pPr>
        <w:spacing w:after="0" w:line="178"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As an offshore holding company, we are permitted under PRC laws and regulations to provide funding from the proceeds of our offshore fund raising activities to our PRC subsidiary only through loans or capital contributions, and to our consolidated affiliated entity and its subsidiary only through loans, in each case subject to the satisfaction of the applicable government registration and approval requirements. See “Risk Factors—Risks Related to Doing Business in China—PRC regulation of loans to, and direct investment in, PRC entities by offshore holding companies and governmental control of currency conversion may restrict or prevent us from using the proceeds of our initial public offering to make loans to our PRC subsidiary and consolidated affiliated entity and its subsidiary, or to make additional capital contributions to our PRC subsidiary.” As a result, there is uncertainty with respect to our ability to provide prompt financial support to our PRC subsidiary and consolidated affiliated entity when needed. Notwithstanding the forgoing, our PRC subsidiary may use its own retained earnings (rather than RMB converted from foreign currency denominated capital) to provide financial support to our consolidated affiliated entity either through entrustment loans from our PRC subsidiary to our consolidated affiliated entity or direct loans to such consolidated affiliated entity’s nominee shareholders, which would be contributed to the consolidated variable entity as capital injections. Such direct loans to the nominee shareholders would be eliminated in our consolidated financial statements against the consolidated affiliated entity’s share capital.</w:t>
      </w:r>
    </w:p>
    <w:p>
      <w:pPr>
        <w:spacing w:after="0" w:line="17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full time employees in the PRC participate in a government-mandated contribution plan pursuant to which certain pension benefits, medical care, unemployment insurance, employee housing fund and other welfare benefits are provided to such employees. We accrue for these benefits based on certain percentages of the employees’ salaries. The total provisions for such employee benefits were US$0.3 million in 2012, US$1.0 million in 2013 and US$1.6 million in the nine months ended September 30, 2014. We expect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contribution towards such employee benefits to increase in the future as we continue to expand our workforce and as salary levels of our employees continue to increase.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860" w:type="dxa"/>
            <w:vAlign w:val="bottom"/>
            <w:gridSpan w:val="4"/>
          </w:tcPr>
          <w:p>
            <w:pPr>
              <w:jc w:val="right"/>
              <w:ind w:right="908"/>
              <w:spacing w:after="0"/>
              <w:rPr>
                <w:sz w:val="20"/>
                <w:szCs w:val="20"/>
                <w:color w:val="auto"/>
              </w:rPr>
            </w:pPr>
            <w:r>
              <w:rPr>
                <w:rFonts w:ascii="Arial" w:cs="Arial" w:eastAsia="Arial" w:hAnsi="Arial"/>
                <w:sz w:val="14"/>
                <w:szCs w:val="14"/>
                <w:b w:val="1"/>
                <w:bCs w:val="1"/>
                <w:color w:val="auto"/>
              </w:rPr>
              <w:t>Year Ended December 31,</w:t>
            </w:r>
          </w:p>
        </w:tc>
        <w:tc>
          <w:tcPr>
            <w:tcW w:w="2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9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60" w:type="dxa"/>
            <w:vAlign w:val="bottom"/>
            <w:gridSpan w:val="3"/>
          </w:tcPr>
          <w:p>
            <w:pPr>
              <w:jc w:val="right"/>
              <w:ind w:right="1140"/>
              <w:spacing w:after="0" w:line="142" w:lineRule="exact"/>
              <w:rPr>
                <w:sz w:val="20"/>
                <w:szCs w:val="20"/>
                <w:color w:val="auto"/>
              </w:rPr>
            </w:pPr>
            <w:r>
              <w:rPr>
                <w:rFonts w:ascii="Arial" w:cs="Arial" w:eastAsia="Arial" w:hAnsi="Arial"/>
                <w:sz w:val="14"/>
                <w:szCs w:val="14"/>
                <w:b w:val="1"/>
                <w:bCs w:val="1"/>
                <w:color w:val="auto"/>
                <w:w w:val="94"/>
              </w:rPr>
              <w:t>(in US$ thousands)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(4,104)</w:t>
            </w:r>
          </w:p>
        </w:tc>
        <w:tc>
          <w:tcPr>
            <w:tcW w:w="14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(5,135)</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(4,813)</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(1,992)</w:t>
            </w:r>
          </w:p>
        </w:tc>
        <w:tc>
          <w:tcPr>
            <w:tcW w:w="1420" w:type="dxa"/>
            <w:vAlign w:val="bottom"/>
            <w:gridSpan w:val="2"/>
          </w:tcPr>
          <w:p>
            <w:pPr>
              <w:jc w:val="right"/>
              <w:ind w:right="588"/>
              <w:spacing w:after="0"/>
              <w:rPr>
                <w:sz w:val="20"/>
                <w:szCs w:val="20"/>
                <w:color w:val="auto"/>
              </w:rPr>
            </w:pPr>
            <w:r>
              <w:rPr>
                <w:rFonts w:ascii="Arial" w:cs="Arial" w:eastAsia="Arial" w:hAnsi="Arial"/>
                <w:sz w:val="18"/>
                <w:szCs w:val="18"/>
                <w:color w:val="auto"/>
              </w:rPr>
              <w:t>(3,181)</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(1,888)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(6,955)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23,551</w:t>
            </w:r>
          </w:p>
        </w:tc>
        <w:tc>
          <w:tcPr>
            <w:tcW w:w="14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122,441</w:t>
            </w: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Effect of exchange rate changes on cash and</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1420" w:type="dxa"/>
            <w:vAlign w:val="bottom"/>
            <w:gridSpan w:val="2"/>
          </w:tcPr>
          <w:p>
            <w:pPr>
              <w:jc w:val="right"/>
              <w:ind w:right="648"/>
              <w:spacing w:after="0"/>
              <w:rPr>
                <w:sz w:val="20"/>
                <w:szCs w:val="20"/>
                <w:color w:val="auto"/>
              </w:rPr>
            </w:pPr>
            <w:r>
              <w:rPr>
                <w:rFonts w:ascii="Arial" w:cs="Arial" w:eastAsia="Arial" w:hAnsi="Arial"/>
                <w:sz w:val="18"/>
                <w:szCs w:val="18"/>
                <w:color w:val="auto"/>
              </w:rPr>
              <w:t>151</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160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(decrease by) increase in cash and cash</w:t>
            </w:r>
          </w:p>
        </w:tc>
        <w:tc>
          <w:tcPr>
            <w:tcW w:w="70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17,421</w:t>
            </w:r>
          </w:p>
        </w:tc>
        <w:tc>
          <w:tcPr>
            <w:tcW w:w="14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36,835</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(6,541)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106,832</w:t>
            </w: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Cash and cash equivalents at beginning of</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period</w:t>
            </w:r>
          </w:p>
        </w:tc>
        <w:tc>
          <w:tcPr>
            <w:tcW w:w="700" w:type="dxa"/>
            <w:vAlign w:val="bottom"/>
          </w:tcPr>
          <w:p>
            <w:pPr>
              <w:jc w:val="right"/>
              <w:spacing w:after="0"/>
              <w:rPr>
                <w:sz w:val="20"/>
                <w:szCs w:val="20"/>
                <w:color w:val="auto"/>
              </w:rPr>
            </w:pPr>
            <w:r>
              <w:rPr>
                <w:rFonts w:ascii="Arial" w:cs="Arial" w:eastAsia="Arial" w:hAnsi="Arial"/>
                <w:sz w:val="18"/>
                <w:szCs w:val="18"/>
                <w:color w:val="auto"/>
              </w:rPr>
              <w:t>1,118</w:t>
            </w:r>
          </w:p>
        </w:tc>
        <w:tc>
          <w:tcPr>
            <w:tcW w:w="740" w:type="dxa"/>
            <w:vAlign w:val="bottom"/>
          </w:tcPr>
          <w:p>
            <w:pPr>
              <w:spacing w:after="0"/>
              <w:rPr>
                <w:sz w:val="20"/>
                <w:szCs w:val="20"/>
                <w:color w:val="auto"/>
              </w:rPr>
            </w:pPr>
          </w:p>
        </w:tc>
        <w:tc>
          <w:tcPr>
            <w:tcW w:w="1420" w:type="dxa"/>
            <w:vAlign w:val="bottom"/>
            <w:gridSpan w:val="2"/>
          </w:tcPr>
          <w:p>
            <w:pPr>
              <w:jc w:val="right"/>
              <w:ind w:right="648"/>
              <w:spacing w:after="0"/>
              <w:rPr>
                <w:sz w:val="20"/>
                <w:szCs w:val="20"/>
                <w:color w:val="auto"/>
              </w:rPr>
            </w:pPr>
            <w:r>
              <w:rPr>
                <w:rFonts w:ascii="Arial" w:cs="Arial" w:eastAsia="Arial" w:hAnsi="Arial"/>
                <w:sz w:val="18"/>
                <w:szCs w:val="18"/>
                <w:color w:val="auto"/>
              </w:rPr>
              <w:t>18,539</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18,539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55,374</w:t>
            </w:r>
          </w:p>
        </w:tc>
      </w:tr>
      <w:tr>
        <w:trPr>
          <w:trHeight w:val="27"/>
        </w:trPr>
        <w:tc>
          <w:tcPr>
            <w:tcW w:w="3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18,539</w:t>
            </w:r>
          </w:p>
        </w:tc>
        <w:tc>
          <w:tcPr>
            <w:tcW w:w="7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55,374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7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162,206</w:t>
            </w:r>
          </w:p>
        </w:tc>
      </w:tr>
      <w:tr>
        <w:trPr>
          <w:trHeight w:val="20"/>
        </w:trPr>
        <w:tc>
          <w:tcPr>
            <w:tcW w:w="3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Anticipated Use of Cash</w:t>
      </w:r>
    </w:p>
    <w:p>
      <w:pPr>
        <w:spacing w:after="0" w:line="117"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We intend to invest in our research and development capabilities to grow our user base and enhance user experience. We intend to continue to market our services, promote our brand, strengthen our customer service capabilities and enhance monetization. In order to support our overall business expansion, we also expect to make investments in our corporate facilities and information technology infrastructure. We may pursue strategic alliances and acquisitions that complement our social networking platform. We plan to fund these expenditures with cash and cash equivalents that we have.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Net cash used in operating activities amounted to US$8.4 million in the nine months ended September 30, 2014, which was primarily attributable to a net loss of US$22.9 million, adjusted for non-cash items of US$6.1 million and increase of US$8.4 million in working capital. The non-cash items primarily included US$4.2 million in share-based compensation expenses and US$1.8 million in depreciation on property and equipment. The increase in working capital was primarily attributable to an increase in deferred revenue of US$10.4 million, an increase in accounts payable of US$3.0 million and an increase in accrued expenses and other current liabilities of US$3.8 million, which was partially offset by an increase in prepaid expenses and other current assets of US$5.0 million and an increase in accounts receivable of US$3.1 million. The increase in deferred revenue was mainly attributable to the increase of our members and membership subscription fees that our members paid in advance, as well as the increase in mobile games revenues paid in advance. The increase in accounts payable was mainly attributable to the increase in revenue-sharing payable to game developers. The increase in accrued expenses and other current liabilities was mainly attributable to (i) an increase in marketing promotional fees payable; (ii) an increase in fees payable for professional services and (iii) increased rental expenses payable. The increase in prepaid expenses and other current assets is mainly attributable to (i) an increase in VAT resulting primarily from the purchase of property and equipment as well as advertising activities; (ii) an increase in commission fees we paid to third-party application stores and other payment channels for distributing our mobile application and membership subscription services; and (iii) an increase in deferred IPO cost.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Net cash used in operating activities amounted to US$5.1 million in 2013, which was primarily attributable to a net loss of US$9.3 million, adjusted for non-cash items of US$1.8 million and increase of US$2.4 million in working capital. The non-cash items included US$1.0 million in share-based compensation expenses and US$0.8 million in depreciation. The increase in working capital was primarily attributable to an increase in deferred revenue of US$3.7 million and an increase in accrued expenses and other current liabilities of US$1.3 million, which was partially offset by an increase in accounts receivable of US$1.9 million and an increase in prepaid expenses and other current assets of US$0.8 million. The increase in deferred revenue was mainly attributable to the increase of our members and membership subscription fees that our members paid in advance. The increase in accrued expenses and other current liabilities was mainly attributable to (i) increase in payroll and welfare payable relating to our increased headcount and increased salaries; and</w:t>
      </w:r>
    </w:p>
    <w:p>
      <w:pPr>
        <w:spacing w:after="0" w:line="3" w:lineRule="exact"/>
        <w:rPr>
          <w:sz w:val="20"/>
          <w:szCs w:val="20"/>
          <w:color w:val="auto"/>
        </w:rPr>
      </w:pPr>
    </w:p>
    <w:p>
      <w:pPr>
        <w:ind w:firstLine="8"/>
        <w:spacing w:after="0" w:line="277" w:lineRule="auto"/>
        <w:tabs>
          <w:tab w:leader="none" w:pos="26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increased deferred government subsidy. The increase in accounts receivable is mainly attributable for the revenues collected through third-party payment channels. The increase in prepaid expenses and other current assets is mainly attributable to the increase in commission fees we paid to third-party application stores and other payment channels for distributing our mobile application and membership subscription services.</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cash used in operating activities amounted to US$4.1 million in 2012, which was primarily attributable to a net loss of US$3.8 million, adjusted for non-cash items of US$0.7 million and decrease of US$1.0 million in working capital. The non-cash items include US$0.6 million in share-based compensation expenses and US$0.1 million in depreciation. The decrease in working capital was attributable to increase in accrued expenses and other current liabilities of US$0.7 million and increase in prepaid expenses and other current assets of US$0.3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cash used in investing activities amounted to US$7.0 million in the nine months ended September 30, 2014, which was primarily attributable to our purchase of servers, computers and other equipment and payments for leasehold improvements for our new office in Beijing, which we have occupied since June 2014.</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Net cash used in investing activities amounted to US$3.2 million in 2013, which was primarily attributable to our purchase of computer and other equipment.</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cash used in investing activities amounted to US$2.0 million in 2012, which was primarily attributable to our purchase of computer and other equipment, and advance to a related party for a cost-method investment in Smartisan Technology Co., Ltd. (which was completed in April 2013) on behalf of us. See Note 5 to the consolidated financial statements and report of independent registered public accounting firm included in this prospectus for a description of the cost-method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Net cash provided by financing activities amounted to US$122.4 million in the nine months ended September 30, 2014, which was primarily attributable to proceeds from our issuance of preferred shares to investors.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Net cash provided by financing activities amounted to US$45.0 million in 2013, which was attributable to proceeds from our issuance of preferred shares to investors.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Net cash provided by financing activities amounted to US$23.6 million in 2012, which was attributable to proceeds from our issuance of preferred shares to investors.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capital expenditures amounted to US$1.0 million, US$3.2 million and US$6.6 million in 2012, 2013 and the nine months ended September 30, 2014, respectively. In the past, our capital expenditures were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principally incurred to purchase servers, computers and other office equipment. As our business expands, we may purchase new servers, computers and other equipment in the future, as well as make leasehold improvements.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We lease certain of our facilities and offices under non-cancellable operating lease agreements. The rental expenses were US$0.4 million, US$0.9 million and US$2.2 million during the years ended December 31, 2012 and 2013 and the nine months ended September 30, 2014,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2014, future minimum commitments under non-cancelable agreements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2018 and</w:t>
            </w:r>
          </w:p>
        </w:tc>
      </w:tr>
      <w:tr>
        <w:trPr>
          <w:trHeight w:val="167"/>
        </w:trPr>
        <w:tc>
          <w:tcPr>
            <w:tcW w:w="7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Total</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2014</w:t>
            </w:r>
          </w:p>
        </w:tc>
        <w:tc>
          <w:tcPr>
            <w:tcW w:w="3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4"/>
                <w:szCs w:val="14"/>
                <w:color w:val="auto"/>
              </w:rPr>
              <w:t>2015</w:t>
            </w:r>
          </w:p>
        </w:tc>
        <w:tc>
          <w:tcPr>
            <w:tcW w:w="320" w:type="dxa"/>
            <w:vAlign w:val="bottom"/>
          </w:tcPr>
          <w:p>
            <w:pPr>
              <w:spacing w:after="0"/>
              <w:rPr>
                <w:sz w:val="14"/>
                <w:szCs w:val="14"/>
                <w:color w:val="auto"/>
              </w:rPr>
            </w:pPr>
          </w:p>
        </w:tc>
        <w:tc>
          <w:tcPr>
            <w:tcW w:w="460" w:type="dxa"/>
            <w:vAlign w:val="bottom"/>
          </w:tcPr>
          <w:p>
            <w:pPr>
              <w:jc w:val="right"/>
              <w:ind w:right="19"/>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9"/>
              </w:rPr>
              <w:t>2017</w:t>
            </w:r>
          </w:p>
        </w:tc>
        <w:tc>
          <w:tcPr>
            <w:tcW w:w="3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thereafter</w:t>
            </w:r>
          </w:p>
        </w:tc>
      </w:tr>
      <w:tr>
        <w:trPr>
          <w:trHeight w:val="142"/>
        </w:trPr>
        <w:tc>
          <w:tcPr>
            <w:tcW w:w="7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color w:val="auto"/>
              </w:rPr>
              <w:t>(in US$ thousands)</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5,042</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773</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2,978</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1,192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0"/>
        </w:trPr>
        <w:tc>
          <w:tcPr>
            <w:tcW w:w="7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Other than the operating lease shown above, we did not have any significant capital and other commitments, long-term obligations, or guarantees as of September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company is a holding company with no material operations of its own. We conduct our operations primarily through our wholly owned subsidiaries and our consolidated affiliated entity and its subsidiary in China. As a result, our ability to pay dividends depends upon dividends paid by our wholly owned subsidiaries. If our wholly owned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our consolidated affiliated entity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As a result of these PRC laws and regulations, the capital and statutory reserves restricted which represented the amount of net assets of our relevant subsidiaries in PRC not available for distribution were US$42,081 as of September 30, 2014.</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Since our inception, inflation in China has not materially impacted our results of operations. According to the National Bureau of Statistics of China, the year-over-year percent changes in the consumer price index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December 2011, 2012 and 2013 were increases of 4.1%, 2.5% and 2.5%, respectively. Although we have not in the past been materially affected by inflation since our inception, we can provide no assurance that we will not be affected in the future by higher rates of inflation in China.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prepare our financial statements in conformity with U.S. GAAP, which requires us to make estimates and assumptions that affect our reporting of, among other things, assets and liabilities, revenues and expenses and contingent assets and liabilities. We continually evaluate these estimates and assumptions based on the most recently available information, our own historical experience and other factors that we believe to be relevant under the circumstances. Since our financial reporting process inherently relies on the use of estimates and assumptions, our actual results could differ from what we expect. This is especially true with some accounting policies that require higher degrees of judgment than others in their application. We consider the policies discussed below to be critical to an understanding of our audited consolidated financial statements because they involve the greatest reliance on our management’s judgment.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We recognize revenues when persuasive evidence of an arrangement exists, delivery has occurred, the sales price is fixed or determinable, and collectability is reasonably assured. We principally derive our revenues from membership subscription services as well as offering the platform for mobile games developed by third parties, and other services, including the use of paid emoticons and mobile marketing services.</w:t>
      </w:r>
    </w:p>
    <w:p>
      <w:pPr>
        <w:spacing w:after="0" w:line="16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Membership Subscription. </w:t>
      </w:r>
      <w:r>
        <w:rPr>
          <w:rFonts w:ascii="Arial" w:cs="Arial" w:eastAsia="Arial" w:hAnsi="Arial"/>
          <w:sz w:val="18"/>
          <w:szCs w:val="18"/>
          <w:color w:val="auto"/>
        </w:rPr>
        <w:t>Membership subscription is a service package that enables members to enjoy additional functions and privileges.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periods for the membership subscription are one month, one quarter, six months and one year. All membership subscription is nonrefundable. We collect membership subscription in advance and record it as deferred revenue. Revenues are recognized ratably over the contract period for the membership subscription services.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Mobile Games. </w:t>
      </w:r>
      <w:r>
        <w:rPr>
          <w:rFonts w:ascii="Arial" w:cs="Arial" w:eastAsia="Arial" w:hAnsi="Arial"/>
          <w:sz w:val="17"/>
          <w:szCs w:val="17"/>
          <w:color w:val="auto"/>
        </w:rPr>
        <w:t>We provide game services and generate revenues from offering the platform for mobile games developed by third-party game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developers. All of the games that we currently offer are developed by third-party game developers and can be accessed and played by game players directly through our mobile game platform. We primarily view the game developers to be our customers and consider our responsibility under our agreements with the game developers to be promotion of the game developers’ games. We generally collect payments from game players in connection with the sale of in-game virtual currencies and remit certain agreed-upon percentages of the proceeds to the game developers and records revenues net of remittances. Purchases of in-game currencies are not refundable after they have been sold unless there are unused in-game currencies at the time a game is discontinued. Typically, a game will only be discontinued when the monthly revenues generated by a game become consistently insignificant. In our short history of providing mobile game services, we have never been required to pay cash refunds to game players or game developers in connection with the used in-game currencies of a discontinued game.</w:t>
      </w:r>
    </w:p>
    <w:p>
      <w:pPr>
        <w:spacing w:after="0" w:line="18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Mobile game revenue recognition involves certain management judgments, such as determining who is the principal in providing game services to our players, estimating the consumption date of the in-game currencies and the period of player relationship. We concluded that game developers are the principals based on the fact that the games are primarily hosted by the game developers and such developers are responsible for the maintenance of the games and determination of the prices of the virtual items used in the games. Our primary responsibility is to promote the games of the third-party developers, provide virtual currency exchange services, and offer customer support to resolve registration, log-in, virtual currency exchange and other related issues. Therefore, we report such revenues net of predetermined revenue-sharing with the game developers.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mobile games services</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enter into non-exclusive agreements with game developers and offer our mobile game platform for the mobile games developed by such game developers. We have determined that we have no additional performance obligation to the developers or game players upon players’ completion of the corresponding in-game purchase. Therefore, revenues from the sale of in-game currencies are primarily recorded net of remittances to game developers and deferred until the estimated consumption date by individual games (i.e., the estimated date in-game currencies are consumed within the game), which is typically within a short period of time ranging from one to four days after purchase of the in-game currencies.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the in-game virtual currency consumption date based on the consumption behavior of game players for each reporting period. The amount and timing of our game revenues could be materially different for any period if management made different judgments or utilized different estimates. Any adjustments arising from changes in the estimate would be applied prospectively on the basis that such changes are caused by new information indicating a change in the user behavior pattern.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mobile games services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enter into an exclusive agreement with a game developer and provide our mobile game platform for the mobile game developed by the game developer. Under this exclusive agreement, the players can access the game only through our platform, we have determined that we are obligated to provide mobile games services to game players who purchased virtual items to gain an enhanced game-playing experience over an average period of player relationship. We believe that our performance for, and obligation to, the game developers correspond to the game developers’ services to the players. We do not have access to the data on the consumption details and the types of virtual items purchased by game players. Therefore, we cannot estimate the economic life of the virtual items. However, we maintain historical data of a particular player when the player makes a purchase and logs into the relevant game. We have adopted a policy to recognize revenues net of remittances to game developers over the estimated period of player relationship on a game-by-game basis.</w:t>
      </w:r>
    </w:p>
    <w:p>
      <w:pPr>
        <w:spacing w:after="0" w:line="16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We estimate the period of player relationship based on an assessment of our historical data, user behavioral patterns as well as industry research data. The period of player relationship is estimated based on data collected from those players who have purchased in-game currencies. We estimate the life of the player relationship to be the average period from the first purchase of in-game currencies to the date the player ceases to play the game.</w:t>
      </w:r>
    </w:p>
    <w:p>
      <w:pPr>
        <w:spacing w:after="0" w:line="14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To estimate the last login date the player plays the game, we selected all paying players that logged into the game during a particular period and continue to track these players’ log-on behaviors over a period to determine if each user is “active” or “inactive,” which is determined based on a review of the period of inactivity or idle period from the user’s last log-in. We observe the behaviors of these players to see whether they subsequently return to a game based on different inactive periods (e.g. not logging in) of one month. The percentage of players calculated that do not log back in is estimated to be the probability that players will not return to the game after a certain period of inactivity.</w:t>
      </w:r>
    </w:p>
    <w:p>
      <w:pPr>
        <w:spacing w:after="0" w:line="173"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We consider a paying player to be inactive once he or she has reached a period of inactivity for which it is probable (defined as at least 80%) that a player will not return to a specific game. We believe that using an 80% threshold for the likelihood that a player will not return to a game is a reasonable estimate. We have consistently applied this threshold to our analysis.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If a new game is launched and only a limited period of paying player data is available, then we consider other qualitative factors, such as the playing patterns for paying players for other games with similar characteristics in the market. As of September 30, 2014, we operated only one game under an exclusive arrangement and the estimated period of the player relationship for that game is 45 days.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Future usage patterns may differ from historical usage patterns and therefore the estimated period of player relationship with us may change in the future. The consideration of player relationship with each game is based on our best estimate that takes into account all known and relevant information at the time of assessment. We assess the estimated period of player relationships on a quarterly basis. Any adjustments arising from changes in the estimated period of player relationships are applied prospectively as such change results from new information indicating a change in the game player’s behavioral patterns.</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Paid Emoticons. </w:t>
      </w:r>
      <w:r>
        <w:rPr>
          <w:rFonts w:ascii="Arial" w:cs="Arial" w:eastAsia="Arial" w:hAnsi="Arial"/>
          <w:sz w:val="18"/>
          <w:szCs w:val="18"/>
          <w:color w:val="auto"/>
        </w:rPr>
        <w:t>All paid emoticons are durable with indefinite lives and each of them is effective upon purchase payment made and download</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by a user. The price of each emoticon is fixed and identifiable. The revenues are recognized ratably over the estimated usage life of the emoticon (i.e. 180 days) by the user from the date when the emoticon is downloaded.</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Revenue recognition from emoticons also involves certain management judgments. We estimate the emoticons’ estimated economic life based on the historical data for the period from the first launch in 2013 to March 31, 2014, which period was generally longer than 180 days. We performed the analysis to estimate the usage life of the emoticons based on the historical attrition pattern of the usage frequency per day from the launching date to March 31, 2014, weighted by the sales amount from each selected emoticon sample during such period. We reassess the estimated life periodically. Any adjustments arising from changes in the estimate would be applied prospectively to all existing emoticons which are not fully amortized on the basis that such changes are caused by new information indicating a change in the frequency of usage pattern.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Consolidated Affiliated Entities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PRC regulations currently limit direct foreign ownership of business entities providing value-added telecommunications services, advertising services and internet services in the PRC where certain licenses are required for the provision of such services. To comply with these PRC regulations, we conduct a substantial majority of our business through Beijing Momo and its subsidiary.</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Beijing Momo IT, our wholly-owned PRC subsidiary, holds the power to direct the activities of Beijing Momo and its subsidiary that most significantly affect our economic performance and bears the economic risks and receives the economic benefits of Beijing Momo and its subsidiary through a series of contractual agreements with Beijing Momo and/or their nominee shareholders, including:</w:t>
      </w:r>
    </w:p>
    <w:p>
      <w:pPr>
        <w:spacing w:after="0" w:line="87"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Exclusive cooperation agreements, as supplemented;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Equity interest pledge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operation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Exclusive call option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Powers of attorney; and</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Based on the advice of Han Kun Law Offices, our PRC legal counsel, we believe above contractual agreements are currently legally enforceable under PRC law and regulations.</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More specifically, through these contractual agreements, we believe that the nominee shareholders of Beijing Momo do not have the direct or indirect ability to make decisions regarding the activities of Beijing Momo that could have a significant impact on the economic performance of Beijing Momo because all of the voting rights of Beijing Momo’s nominee shareholders have been contractually transferred to Beijing Momo. Therefore, we have effective control over Beijing Momo. In addition, we believe that our ability to exercise effective control, together with the exclusive cooperation agreements, as supplemented, exclusive call option agreement and equity interest pledge agreement, give us the rights to receive substantially all of the economic benefits from Beijing Momo. Hence, we believe that the nominee shareholders of Beijing Momo do not have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rights to receive the expected residual returns of Beijing Momo, as such rights have been transferred to Beijing Momo. We evaluated the rights we obtained through entering into these contractual agreements and concluded we have the power to direct the activities that most significantly affect Beijing Momo’s economic performance and also have the rights to receive the economic benefits of Beijing Momo that could be significant to Beijing Momo.</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Accordingly, we are the primary beneficiary of Beijing Momo and have consolidated the financial results of Beijing Momo and its subsidiary in our consolidated financial statements.</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shareholders of Beijing Momo are also our shareholders, directors or officers and therefore have no current interest in acting contrary to the contractual arrangements. However, uncertainties in the PRC legal system could limit our ability to enforce these contractual arrangements and if the shareholders of Beijing Momo were to reduce their shareholdings in our company, their interests may diverge from our interests, which may increase the risk that they would act contrary to the contractual arrangements, such as causing Beijing Momo to not pay service fees under the contractual arrangements when required to do so. See “Risk Factors—Risks Related to Our Corporate Structure—We rely on contractual arrangements with Beijing Momo and its shareholders for our operations in China, which may not be as effective in providing operational control as direct ownership.”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preparing our consolidated financial statements, we must estimate our income taxes in each of the jurisdictions in which we operate. We estimate our actual tax exposure and assess temporary differences resulting from different treatment of items for tax and accounting purposes. These differences result in deferred tax assets and liabilities, which we include in our consolidated balance sheet. We must then assess the likelihood that we will recover our deferred tax assets from future taxable income. If we believe that recovery is not likely, we must establish a valuation allowance. To the extent we establish a valuation allowance or increase this allowance, we must include an expense within the tax provision in our consolidated statement of operations.</w:t>
      </w:r>
    </w:p>
    <w:p>
      <w:pPr>
        <w:spacing w:after="0" w:line="15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Management must exercise significant judgment to determine our provision for income taxes, our deferred tax assets and liabilities and any valuation allowance recorded against our net deferred tax assets. We base the valuation allowance on our estimates of taxable income in each jurisdiction in which we operate and the period over which our deferred tax assets will be recoverable. If actual results differ from these estimates or we adjust these estimates in future periods, we may need to establish an additional valuation allowance, which could materially impact our financial position and results of operations.</w:t>
      </w:r>
    </w:p>
    <w:p>
      <w:pPr>
        <w:spacing w:after="0" w:line="1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U.S. GAAP requires that an entity recognize the impact of an uncertain income tax position on the income tax return at the largest amount that is more likely than not to be sustained upon audit by the relevant tax authority. If we ultimately determine that payment of these liabilities will be unnecessary, we will reverse the liability and recognize a tax benefit during that period. Conversely, we record additional tax charges in a period in which we determine that a recorded tax liability is less than the expected ultimate assessment. We did not recognize any significant unrecognized tax benefits during the periods presented in this prospectus.</w:t>
      </w:r>
    </w:p>
    <w:p>
      <w:pPr>
        <w:spacing w:after="0" w:line="18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Uncertainties exist with respect to the application of the New EIT Law to our operations, specifically with respect to our tax residency status. The New EIT Law specifies that legal entities organized outside of the PRC will be considered residents for PRC income tax purposes if their “de facto management bodies” are located within the PRC. The New EIT Law’s implementation rules define the term “de facto management bodies” as “establishments that carry out substantial and overall management and control over the manufacturing and business operations, personnel, accounting, properties, etc. of an enterprise.”</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Because of the uncertainties resulted from limited PRC tax guidance on the issue, it is uncertain whether our legal entities organized outside of the PRC constitute residents under the New EIT Law. If one or more of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legal entities organized outside of the PRC were characterized as PRC tax residents, the impact would adversely affect our results of operations. See “Risk Factors—Risks Related to Doing Business in China.”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useful lives and impairment of property and equipment</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Property and equipment are stated at historical cost less accumulated depreciation. Depreciation is computed using the straight-line method over the estimated useful lives of the assets, generally from three to five years. Judgment is required to determine the estimated useful lives of assets, especially for computer equipment, including determining how long existing equipment can function and when new technologies will be introduced at cost-effective price points to replace existing equipment. Changes in these estimates and assumptions could materially impact our financial position and results of operations.</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review our long-lived assets for impairment whenever events or changes in circumstances indicate that the carrying amount of an asset may no longer be recoverable. When these events occur, we measure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we would recognize an impairment loss based on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our ordinary shares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are a private company with no quoted market prices for our ordinary shares. We have therefore needed to make estimates of the fair value of our ordinary shares at various dates for the following purposes:</w:t>
      </w:r>
    </w:p>
    <w:p>
      <w:pPr>
        <w:spacing w:after="0" w:line="76" w:lineRule="exact"/>
        <w:rPr>
          <w:sz w:val="20"/>
          <w:szCs w:val="20"/>
          <w:color w:val="auto"/>
        </w:rPr>
      </w:pPr>
    </w:p>
    <w:p>
      <w:pPr>
        <w:ind w:left="900" w:right="3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Determining the fair value of our ordinary shares at the date of issuance of convertible instruments as one of the inputs into determining the intrinsic value of the beneficial conversion feature, if any.</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Determining the fair value of our ordinary shares at the date of the grant of a share-based compensation awards to our employees as one of the inputs into determining the grant date fair value of the award.</w:t>
      </w:r>
    </w:p>
    <w:p>
      <w:pPr>
        <w:spacing w:after="0" w:line="75" w:lineRule="exact"/>
        <w:rPr>
          <w:rFonts w:ascii="Arial" w:cs="Arial" w:eastAsia="Arial" w:hAnsi="Arial"/>
          <w:sz w:val="18"/>
          <w:szCs w:val="18"/>
          <w:color w:val="auto"/>
        </w:rPr>
      </w:pPr>
    </w:p>
    <w:p>
      <w:pPr>
        <w:ind w:left="900" w:right="120" w:hanging="325"/>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Determining the fair value of our ordinary shares at the date of the grant of a share-based compensation awards to non-employees as one of the inputs into determining the grant date fair value of the award and fair value as of each period end thereafter.</w:t>
      </w:r>
    </w:p>
    <w:p>
      <w:pPr>
        <w:spacing w:after="0" w:line="14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In determining the estimated fair value of our ordinary shares, we have considered the guidance prescribed by the </w:t>
      </w:r>
      <w:r>
        <w:rPr>
          <w:rFonts w:ascii="Arial" w:cs="Arial" w:eastAsia="Arial" w:hAnsi="Arial"/>
          <w:sz w:val="16"/>
          <w:szCs w:val="16"/>
          <w:i w:val="1"/>
          <w:iCs w:val="1"/>
          <w:color w:val="auto"/>
        </w:rPr>
        <w:t>AICPA Audit and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Practice Aid, Valuation of Privately-Held-Company Equity Securities Issued as Compensation</w:t>
      </w:r>
      <w:r>
        <w:rPr>
          <w:rFonts w:ascii="Arial" w:cs="Arial" w:eastAsia="Arial" w:hAnsi="Arial"/>
          <w:sz w:val="16"/>
          <w:szCs w:val="16"/>
          <w:color w:val="auto"/>
        </w:rPr>
        <w:t>, or the Practice Aid, which sets forth the preferred types of</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that should be used. These estimates will not be necessary to determine the fair value of our ordinary shares once our ADSs begin trading.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20"/>
          </w:cols>
          <w:pgMar w:left="24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fair value of our ordinary shares estimated at different dates in 2012, 2013 and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2020" w:type="dxa"/>
            <w:vAlign w:val="bottom"/>
            <w:gridSpan w:val="2"/>
          </w:tcPr>
          <w:p>
            <w:pPr>
              <w:ind w:left="320"/>
              <w:spacing w:after="0"/>
              <w:rPr>
                <w:sz w:val="20"/>
                <w:szCs w:val="20"/>
                <w:color w:val="auto"/>
              </w:rPr>
            </w:pPr>
            <w:r>
              <w:rPr>
                <w:rFonts w:ascii="Arial" w:cs="Arial" w:eastAsia="Arial" w:hAnsi="Arial"/>
                <w:sz w:val="14"/>
                <w:szCs w:val="14"/>
                <w:b w:val="1"/>
                <w:bCs w:val="1"/>
                <w:color w:val="auto"/>
              </w:rPr>
              <w:t>Class of Shares</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840" w:type="dxa"/>
            <w:vAlign w:val="bottom"/>
            <w:gridSpan w:val="2"/>
          </w:tcPr>
          <w:p>
            <w:pPr>
              <w:ind w:left="540"/>
              <w:spacing w:after="0"/>
              <w:rPr>
                <w:sz w:val="20"/>
                <w:szCs w:val="20"/>
                <w:color w:val="auto"/>
              </w:rPr>
            </w:pPr>
            <w:r>
              <w:rPr>
                <w:rFonts w:ascii="Arial" w:cs="Arial" w:eastAsia="Arial" w:hAnsi="Arial"/>
                <w:sz w:val="14"/>
                <w:szCs w:val="14"/>
                <w:b w:val="1"/>
                <w:bCs w:val="1"/>
                <w:color w:val="auto"/>
              </w:rPr>
              <w:t>Purpose of Valuation</w:t>
            </w:r>
          </w:p>
        </w:tc>
        <w:tc>
          <w:tcPr>
            <w:tcW w:w="110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DLOM</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1"/>
              </w:rPr>
              <w:t>Discount 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w w:val="74"/>
              </w:rPr>
              <w:t>%</w:t>
            </w: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April 12, 2012</w:t>
            </w:r>
          </w:p>
        </w:tc>
        <w:tc>
          <w:tcPr>
            <w:tcW w:w="1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Ordinary shares</w:t>
            </w:r>
          </w:p>
        </w:tc>
        <w:tc>
          <w:tcPr>
            <w:tcW w:w="4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US$0.01</w:t>
            </w:r>
          </w:p>
        </w:tc>
        <w:tc>
          <w:tcPr>
            <w:tcW w:w="540" w:type="dxa"/>
            <w:vAlign w:val="bottom"/>
            <w:vMerge w:val="continue"/>
            <w:shd w:val="clear" w:color="auto" w:fill="CCEEFF"/>
          </w:tcPr>
          <w:p>
            <w:pPr>
              <w:spacing w:after="0"/>
              <w:rPr>
                <w:sz w:val="16"/>
                <w:szCs w:val="16"/>
                <w:color w:val="auto"/>
              </w:rPr>
            </w:pPr>
          </w:p>
        </w:tc>
        <w:tc>
          <w:tcPr>
            <w:tcW w:w="2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 determine potential</w:t>
            </w:r>
          </w:p>
        </w:tc>
        <w:tc>
          <w:tcPr>
            <w:tcW w:w="46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33.5</w:t>
            </w:r>
          </w:p>
        </w:tc>
        <w:tc>
          <w:tcPr>
            <w:tcW w:w="64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40.00</w:t>
            </w:r>
          </w:p>
        </w:tc>
        <w:tc>
          <w:tcPr>
            <w:tcW w:w="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beneficial conversion feature in</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connection with the issuance of</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A-1 and Series A-2</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180" w:type="dxa"/>
            <w:vAlign w:val="bottom"/>
            <w:gridSpan w:val="3"/>
          </w:tcPr>
          <w:p>
            <w:pPr>
              <w:spacing w:after="0"/>
              <w:rPr>
                <w:sz w:val="20"/>
                <w:szCs w:val="20"/>
                <w:color w:val="auto"/>
              </w:rPr>
            </w:pPr>
            <w:r>
              <w:rPr>
                <w:rFonts w:ascii="Arial" w:cs="Arial" w:eastAsia="Arial" w:hAnsi="Arial"/>
                <w:sz w:val="18"/>
                <w:szCs w:val="18"/>
                <w:color w:val="auto"/>
              </w:rPr>
              <w:t>June 11, 2012</w:t>
            </w:r>
          </w:p>
        </w:tc>
        <w:tc>
          <w:tcPr>
            <w:tcW w:w="2020" w:type="dxa"/>
            <w:vAlign w:val="bottom"/>
            <w:gridSpan w:val="2"/>
          </w:tcPr>
          <w:p>
            <w:pPr>
              <w:spacing w:after="0"/>
              <w:rPr>
                <w:sz w:val="20"/>
                <w:szCs w:val="20"/>
                <w:color w:val="auto"/>
              </w:rPr>
            </w:pPr>
            <w:r>
              <w:rPr>
                <w:rFonts w:ascii="Arial" w:cs="Arial" w:eastAsia="Arial" w:hAnsi="Arial"/>
                <w:sz w:val="18"/>
                <w:szCs w:val="18"/>
                <w:color w:val="auto"/>
              </w:rPr>
              <w:t>Ordinary shares</w:t>
            </w:r>
          </w:p>
        </w:tc>
        <w:tc>
          <w:tcPr>
            <w:tcW w:w="1200" w:type="dxa"/>
            <w:vAlign w:val="bottom"/>
            <w:gridSpan w:val="2"/>
          </w:tcPr>
          <w:p>
            <w:pPr>
              <w:spacing w:after="0"/>
              <w:rPr>
                <w:sz w:val="20"/>
                <w:szCs w:val="20"/>
                <w:color w:val="auto"/>
              </w:rPr>
            </w:pPr>
            <w:r>
              <w:rPr>
                <w:rFonts w:ascii="Arial" w:cs="Arial" w:eastAsia="Arial" w:hAnsi="Arial"/>
                <w:sz w:val="18"/>
                <w:szCs w:val="18"/>
                <w:color w:val="auto"/>
              </w:rPr>
              <w:t>US$0.03</w:t>
            </w:r>
          </w:p>
        </w:tc>
        <w:tc>
          <w:tcPr>
            <w:tcW w:w="2840" w:type="dxa"/>
            <w:vAlign w:val="bottom"/>
            <w:gridSpan w:val="2"/>
          </w:tcPr>
          <w:p>
            <w:pPr>
              <w:spacing w:after="0"/>
              <w:rPr>
                <w:sz w:val="20"/>
                <w:szCs w:val="20"/>
                <w:color w:val="auto"/>
              </w:rPr>
            </w:pPr>
            <w:r>
              <w:rPr>
                <w:rFonts w:ascii="Arial" w:cs="Arial" w:eastAsia="Arial" w:hAnsi="Arial"/>
                <w:sz w:val="18"/>
                <w:szCs w:val="18"/>
                <w:color w:val="auto"/>
              </w:rPr>
              <w:t>To determine potential</w:t>
            </w:r>
          </w:p>
        </w:tc>
        <w:tc>
          <w:tcPr>
            <w:tcW w:w="1100" w:type="dxa"/>
            <w:vAlign w:val="bottom"/>
            <w:gridSpan w:val="2"/>
          </w:tcPr>
          <w:p>
            <w:pPr>
              <w:jc w:val="right"/>
              <w:ind w:right="410"/>
              <w:spacing w:after="0"/>
              <w:rPr>
                <w:sz w:val="20"/>
                <w:szCs w:val="20"/>
                <w:color w:val="auto"/>
              </w:rPr>
            </w:pPr>
            <w:r>
              <w:rPr>
                <w:rFonts w:ascii="Arial" w:cs="Arial" w:eastAsia="Arial" w:hAnsi="Arial"/>
                <w:sz w:val="18"/>
                <w:szCs w:val="18"/>
                <w:color w:val="auto"/>
              </w:rPr>
              <w:t>33.5%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beneficial conversion feature in</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connection with the issuance of</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Series A-3 preferred shares</w:t>
            </w: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July 13, 2012</w:t>
            </w:r>
          </w:p>
        </w:tc>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Ordinary shares</w:t>
            </w:r>
          </w:p>
        </w:tc>
        <w:tc>
          <w:tcPr>
            <w:tcW w:w="1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US$0.09</w:t>
            </w:r>
          </w:p>
        </w:tc>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 determine potential</w:t>
            </w:r>
          </w:p>
        </w:tc>
        <w:tc>
          <w:tcPr>
            <w:tcW w:w="1100" w:type="dxa"/>
            <w:vAlign w:val="bottom"/>
            <w:gridSpan w:val="2"/>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33.5%</w:t>
            </w: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beneficial conversion feature in</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connection with the issuance of</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preferred shares</w:t>
            </w: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80" w:type="dxa"/>
            <w:vAlign w:val="bottom"/>
            <w:gridSpan w:val="3"/>
          </w:tcPr>
          <w:p>
            <w:pPr>
              <w:spacing w:after="0"/>
              <w:rPr>
                <w:sz w:val="20"/>
                <w:szCs w:val="20"/>
                <w:color w:val="auto"/>
              </w:rPr>
            </w:pPr>
            <w:r>
              <w:rPr>
                <w:rFonts w:ascii="Arial" w:cs="Arial" w:eastAsia="Arial" w:hAnsi="Arial"/>
                <w:sz w:val="18"/>
                <w:szCs w:val="18"/>
                <w:color w:val="auto"/>
              </w:rPr>
              <w:t>November 1, 2012</w:t>
            </w:r>
          </w:p>
        </w:tc>
        <w:tc>
          <w:tcPr>
            <w:tcW w:w="2020" w:type="dxa"/>
            <w:vAlign w:val="bottom"/>
            <w:gridSpan w:val="2"/>
          </w:tcPr>
          <w:p>
            <w:pPr>
              <w:spacing w:after="0"/>
              <w:rPr>
                <w:sz w:val="20"/>
                <w:szCs w:val="20"/>
                <w:color w:val="auto"/>
              </w:rPr>
            </w:pPr>
            <w:r>
              <w:rPr>
                <w:rFonts w:ascii="Arial" w:cs="Arial" w:eastAsia="Arial" w:hAnsi="Arial"/>
                <w:sz w:val="18"/>
                <w:szCs w:val="18"/>
                <w:color w:val="auto"/>
              </w:rPr>
              <w:t>Ordinary shares</w:t>
            </w:r>
          </w:p>
        </w:tc>
        <w:tc>
          <w:tcPr>
            <w:tcW w:w="1200" w:type="dxa"/>
            <w:vAlign w:val="bottom"/>
            <w:gridSpan w:val="2"/>
          </w:tcPr>
          <w:p>
            <w:pPr>
              <w:spacing w:after="0"/>
              <w:rPr>
                <w:sz w:val="20"/>
                <w:szCs w:val="20"/>
                <w:color w:val="auto"/>
              </w:rPr>
            </w:pPr>
            <w:r>
              <w:rPr>
                <w:rFonts w:ascii="Arial" w:cs="Arial" w:eastAsia="Arial" w:hAnsi="Arial"/>
                <w:sz w:val="18"/>
                <w:szCs w:val="18"/>
                <w:color w:val="auto"/>
              </w:rPr>
              <w:t>US$0.19</w:t>
            </w:r>
          </w:p>
        </w:tc>
        <w:tc>
          <w:tcPr>
            <w:tcW w:w="2840" w:type="dxa"/>
            <w:vAlign w:val="bottom"/>
            <w:gridSpan w:val="2"/>
          </w:tcPr>
          <w:p>
            <w:pPr>
              <w:spacing w:after="0"/>
              <w:rPr>
                <w:sz w:val="20"/>
                <w:szCs w:val="20"/>
                <w:color w:val="auto"/>
              </w:rPr>
            </w:pPr>
            <w:r>
              <w:rPr>
                <w:rFonts w:ascii="Arial" w:cs="Arial" w:eastAsia="Arial" w:hAnsi="Arial"/>
                <w:sz w:val="18"/>
                <w:szCs w:val="18"/>
                <w:color w:val="auto"/>
              </w:rPr>
              <w:t>Share option grant</w:t>
            </w:r>
          </w:p>
        </w:tc>
        <w:tc>
          <w:tcPr>
            <w:tcW w:w="1100" w:type="dxa"/>
            <w:vAlign w:val="bottom"/>
            <w:gridSpan w:val="2"/>
          </w:tcPr>
          <w:p>
            <w:pPr>
              <w:jc w:val="right"/>
              <w:ind w:right="410"/>
              <w:spacing w:after="0"/>
              <w:rPr>
                <w:sz w:val="20"/>
                <w:szCs w:val="20"/>
                <w:color w:val="auto"/>
              </w:rPr>
            </w:pPr>
            <w:r>
              <w:rPr>
                <w:rFonts w:ascii="Arial" w:cs="Arial" w:eastAsia="Arial" w:hAnsi="Arial"/>
                <w:sz w:val="18"/>
                <w:szCs w:val="18"/>
                <w:color w:val="auto"/>
              </w:rPr>
              <w:t>33.0%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October 8, 2013</w:t>
            </w:r>
          </w:p>
        </w:tc>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Ordinary shares</w:t>
            </w:r>
          </w:p>
        </w:tc>
        <w:tc>
          <w:tcPr>
            <w:tcW w:w="1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US$0.40</w:t>
            </w:r>
          </w:p>
        </w:tc>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 determine potential</w:t>
            </w:r>
          </w:p>
        </w:tc>
        <w:tc>
          <w:tcPr>
            <w:tcW w:w="1100" w:type="dxa"/>
            <w:vAlign w:val="bottom"/>
            <w:gridSpan w:val="2"/>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20.0%</w:t>
            </w: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beneficial conversion feature in</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connection with the issuance of</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preferred shares</w:t>
            </w: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80" w:type="dxa"/>
            <w:vAlign w:val="bottom"/>
            <w:gridSpan w:val="3"/>
          </w:tcPr>
          <w:p>
            <w:pPr>
              <w:spacing w:after="0"/>
              <w:rPr>
                <w:sz w:val="20"/>
                <w:szCs w:val="20"/>
                <w:color w:val="auto"/>
              </w:rPr>
            </w:pPr>
            <w:r>
              <w:rPr>
                <w:rFonts w:ascii="Arial" w:cs="Arial" w:eastAsia="Arial" w:hAnsi="Arial"/>
                <w:sz w:val="18"/>
                <w:szCs w:val="18"/>
                <w:color w:val="auto"/>
              </w:rPr>
              <w:t>March 1, 2014</w:t>
            </w:r>
          </w:p>
        </w:tc>
        <w:tc>
          <w:tcPr>
            <w:tcW w:w="2020" w:type="dxa"/>
            <w:vAlign w:val="bottom"/>
            <w:gridSpan w:val="2"/>
          </w:tcPr>
          <w:p>
            <w:pPr>
              <w:spacing w:after="0"/>
              <w:rPr>
                <w:sz w:val="20"/>
                <w:szCs w:val="20"/>
                <w:color w:val="auto"/>
              </w:rPr>
            </w:pPr>
            <w:r>
              <w:rPr>
                <w:rFonts w:ascii="Arial" w:cs="Arial" w:eastAsia="Arial" w:hAnsi="Arial"/>
                <w:sz w:val="18"/>
                <w:szCs w:val="18"/>
                <w:color w:val="auto"/>
              </w:rPr>
              <w:t>Ordinary shares</w:t>
            </w:r>
          </w:p>
        </w:tc>
        <w:tc>
          <w:tcPr>
            <w:tcW w:w="1200" w:type="dxa"/>
            <w:vAlign w:val="bottom"/>
            <w:gridSpan w:val="2"/>
          </w:tcPr>
          <w:p>
            <w:pPr>
              <w:spacing w:after="0"/>
              <w:rPr>
                <w:sz w:val="20"/>
                <w:szCs w:val="20"/>
                <w:color w:val="auto"/>
              </w:rPr>
            </w:pPr>
            <w:r>
              <w:rPr>
                <w:rFonts w:ascii="Arial" w:cs="Arial" w:eastAsia="Arial" w:hAnsi="Arial"/>
                <w:sz w:val="18"/>
                <w:szCs w:val="18"/>
                <w:color w:val="auto"/>
              </w:rPr>
              <w:t>US$4.00</w:t>
            </w:r>
          </w:p>
        </w:tc>
        <w:tc>
          <w:tcPr>
            <w:tcW w:w="2840" w:type="dxa"/>
            <w:vAlign w:val="bottom"/>
            <w:gridSpan w:val="2"/>
          </w:tcPr>
          <w:p>
            <w:pPr>
              <w:spacing w:after="0"/>
              <w:rPr>
                <w:sz w:val="20"/>
                <w:szCs w:val="20"/>
                <w:color w:val="auto"/>
              </w:rPr>
            </w:pPr>
            <w:r>
              <w:rPr>
                <w:rFonts w:ascii="Arial" w:cs="Arial" w:eastAsia="Arial" w:hAnsi="Arial"/>
                <w:sz w:val="18"/>
                <w:szCs w:val="18"/>
                <w:color w:val="auto"/>
              </w:rPr>
              <w:t>Share option grant</w:t>
            </w:r>
          </w:p>
        </w:tc>
        <w:tc>
          <w:tcPr>
            <w:tcW w:w="1100" w:type="dxa"/>
            <w:vAlign w:val="bottom"/>
            <w:gridSpan w:val="2"/>
          </w:tcPr>
          <w:p>
            <w:pPr>
              <w:jc w:val="right"/>
              <w:ind w:right="410"/>
              <w:spacing w:after="0"/>
              <w:rPr>
                <w:sz w:val="20"/>
                <w:szCs w:val="20"/>
                <w:color w:val="auto"/>
              </w:rPr>
            </w:pPr>
            <w:r>
              <w:rPr>
                <w:rFonts w:ascii="Arial" w:cs="Arial" w:eastAsia="Arial" w:hAnsi="Arial"/>
                <w:sz w:val="18"/>
                <w:szCs w:val="18"/>
                <w:color w:val="auto"/>
              </w:rPr>
              <w:t>16.0%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22, 2014</w:t>
            </w:r>
          </w:p>
        </w:tc>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Ordinary shares</w:t>
            </w:r>
          </w:p>
        </w:tc>
        <w:tc>
          <w:tcPr>
            <w:tcW w:w="1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US$4.22</w:t>
            </w:r>
          </w:p>
        </w:tc>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 determine potential</w:t>
            </w:r>
          </w:p>
        </w:tc>
        <w:tc>
          <w:tcPr>
            <w:tcW w:w="1100" w:type="dxa"/>
            <w:vAlign w:val="bottom"/>
            <w:gridSpan w:val="2"/>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14.0%</w:t>
            </w: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beneficial conversion feature in</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connection with the issuance of</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 preferred shares</w:t>
            </w: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4"/>
          <w:szCs w:val="14"/>
          <w:color w:val="auto"/>
        </w:rPr>
        <w:t>the fair values of ordinary shares stated above were adjusted by 1:10 share split that occurred in September 2012.</w:t>
      </w:r>
    </w:p>
    <w:p>
      <w:pPr>
        <w:spacing w:after="0" w:line="20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determining the fair value of our equity interest in 2012, 2013 and the nine months ended September 30, 2014, we used both the market approach, also known as backsolve method, and the income approach, also known as the discounted cash flow method.</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backsolve method takes into consideration of the rights and preferences of each class of equity and solves for the total equity value that is comparable with a recent transaction in our own securities, considering the rights and preferences of each class of equity. The method was used when we completed financing transactions with investors on arm’s length basis.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discounted cash flow, or DCF method, incorporates the projected cash flow of our management’s best estimation as of each measurement date. The projected cash flow estimation includes, among others, analysis of projected revenue growth, gross margins and terminal value. The assumptions used in deriving the fair value of ordinary shares are consistent with our business plan.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DCF method of the income approach involves applying appropriate discount rates to discount the future cash flows forecast to present value. In determining an appropriate discount rate, we have considered (i) the weighted-average cost of capital, or WACC and (ii) the rate of return expected by venture capitalists, or VCR.</w:t>
      </w:r>
    </w:p>
    <w:p>
      <w:pPr>
        <w:spacing w:after="0" w:line="181" w:lineRule="exact"/>
        <w:rPr>
          <w:sz w:val="20"/>
          <w:szCs w:val="20"/>
          <w:color w:val="auto"/>
        </w:rPr>
      </w:pPr>
    </w:p>
    <w:p>
      <w:pPr>
        <w:ind w:right="320" w:firstLine="456"/>
        <w:spacing w:after="0" w:line="271" w:lineRule="auto"/>
        <w:rPr>
          <w:sz w:val="20"/>
          <w:szCs w:val="20"/>
          <w:color w:val="auto"/>
        </w:rPr>
      </w:pPr>
      <w:r>
        <w:rPr>
          <w:rFonts w:ascii="Arial" w:cs="Arial" w:eastAsia="Arial" w:hAnsi="Arial"/>
          <w:sz w:val="17"/>
          <w:szCs w:val="17"/>
          <w:i w:val="1"/>
          <w:iCs w:val="1"/>
          <w:color w:val="auto"/>
        </w:rPr>
        <w:t xml:space="preserve">Weighted Average Cost of Capital. </w:t>
      </w:r>
      <w:r>
        <w:rPr>
          <w:rFonts w:ascii="Arial" w:cs="Arial" w:eastAsia="Arial" w:hAnsi="Arial"/>
          <w:sz w:val="17"/>
          <w:szCs w:val="17"/>
          <w:color w:val="auto"/>
        </w:rPr>
        <w:t>We calculated the cost of equity of the business as of the valuation dates using the capital asset pricing model, or</w:t>
      </w:r>
      <w:r>
        <w:rPr>
          <w:rFonts w:ascii="Arial" w:cs="Arial" w:eastAsia="Arial" w:hAnsi="Arial"/>
          <w:sz w:val="17"/>
          <w:szCs w:val="17"/>
          <w:i w:val="1"/>
          <w:iCs w:val="1"/>
          <w:color w:val="auto"/>
        </w:rPr>
        <w:t xml:space="preserve"> </w:t>
      </w:r>
      <w:r>
        <w:rPr>
          <w:rFonts w:ascii="Arial" w:cs="Arial" w:eastAsia="Arial" w:hAnsi="Arial"/>
          <w:sz w:val="17"/>
          <w:szCs w:val="17"/>
          <w:color w:val="auto"/>
        </w:rPr>
        <w:t>CAPM, the most commonly adopted method for estimating the required rate of return for equity. Under CAPM, the cost of equity is determined with consideration of, the risk-free rate, systematic risk, equity market premium, size of our company, the scale of our business and our ability in achieving forecasted projections. In deriving the WACCs, certain publicly traded companies involving social network were selected for reference as our guideline companies. To reflect the operating environment in China and the general sentiment in the U.S. capital markets towards the social network, the guideline companies were selected with consideration of the following factors: (i) the guideline companies should provide similar services, and (ii) the guideline companies should either have their principal operations in Asia Pacific region, as we operate in China, and/or are publicly listed companies in the United States as we plans to list our shares in the United States.</w:t>
      </w:r>
    </w:p>
    <w:p>
      <w:pPr>
        <w:spacing w:after="0" w:line="17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VCR. </w:t>
      </w:r>
      <w:r>
        <w:rPr>
          <w:rFonts w:ascii="Arial" w:cs="Arial" w:eastAsia="Arial" w:hAnsi="Arial"/>
          <w:sz w:val="18"/>
          <w:szCs w:val="18"/>
          <w:color w:val="auto"/>
        </w:rPr>
        <w:t>According to guidance prescribed by the AICPA Audit and Accounting Practice Aid, “Valuation of Privately-Held-Company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as Compensation,” because private enterprises often seek financing from private equity investors, including venture capital firms, the venture capital arena provides an observable market for the cost of capital for privately held enterprises. The expected return from venture capitalists for investing in our company when we were in expansion stage ranges from 35% to 50%. As we progress through early stage of development towards this offering, the expected return from venture capitalists for investing in our company gradually declines when we were in bridge and IPO stage, which generally range from 25% to 35%.</w:t>
      </w:r>
    </w:p>
    <w:p>
      <w:pPr>
        <w:spacing w:after="0" w:line="19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After considering the WACC, VCR, the relative risk of the industry and the characteristics of our company, we used a discount rate of 40% as of the valuation dates in April 2012 and 21% as of April 2014. The decrease in discount rates was primarily due to our business growth and additional funding from multiple series of preferred shares investments.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above assumptions used in determining the fair values were consistent with our business plan and major milestones we achieved. We also applied general assumptions, including the following:</w:t>
      </w:r>
    </w:p>
    <w:p>
      <w:pPr>
        <w:spacing w:after="0" w:line="7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 will be no major changes in the existing political, legal, fiscal and economic conditions in countries in which we will carry on our business;</w:t>
      </w:r>
    </w:p>
    <w:p>
      <w:pPr>
        <w:spacing w:after="0" w:line="153"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will be no major changes in the current taxation law in countries in which we operates, that the rates of tax payable remain unchanged and that all applicable laws and regulations will be complied with;</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exchange rates and interest rates will not differ materially from those presently prevailing;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financing will not be a constraint on the future growth of our operation;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will retain and have competent management, key personnel, and technical staff to support our ongoing operation;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industry trends and market conditions for related industries will not deviate significantly from economic forecasts.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Since our capital structure comprised convertible preferred shares and ordinary shares at each grant date, we used the option-pricing method to allocate equity value of our company to preferred and ordinary shares, taking into account the guidance prescribed by the Practice Aid. This method involves making estimates of the anticipated timing of a potential liquidity event, such as a sale of our company or an initial public offering, and estimates of the volatility of our equity securities. The anticipated timing is based on the plans of our board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management. Estimating the volatility of the share price of a privately held company is complex because there is no readily available market for the shares. We estimated the volatility of our shares based on historical volatility of guideline companies’ shares. Had we used different estimates of volatility, the allocations between preferred and ordinary shares would have been different.</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also applied a discount for lack of marketability, or DLOM, ranging from 33.5% to 14.0%, to reflect the fact that there is no ready market for shares in a closely-held company like us. When determining the DLOM, the Black-Scholes option pricing model was used. Under this option-pricing method, the cost of the put option, which can hedge the price change before the privately held shares can be sold, was considered as a basis to determine the discount for lack of marketability. This option pricing method was used because it takes into account certain company-specific factors, including the timing of the expected initial public offering and the volatility of the share price of the guideline companies engaged in the same industry.</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increase in the fair value of our ordinary shares from US$0.19 per share as of November 1, 2012 to US$0.40 per share as of October 8, 2013 was primarily attributable to the following factor:</w:t>
      </w:r>
    </w:p>
    <w:p>
      <w:pPr>
        <w:spacing w:after="0" w:line="7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this period, we experienced continuous growth in our active user base.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raised additional capital by issuing Series C preferred shares at US$1.25 per share in October 2013 to certain investors.</w:t>
      </w:r>
    </w:p>
    <w:p>
      <w:pPr>
        <w:spacing w:after="0" w:line="130" w:lineRule="exact"/>
        <w:rPr>
          <w:rFonts w:ascii="Arial" w:cs="Arial" w:eastAsia="Arial" w:hAnsi="Arial"/>
          <w:sz w:val="18"/>
          <w:szCs w:val="18"/>
          <w:color w:val="auto"/>
        </w:rPr>
      </w:pPr>
    </w:p>
    <w:p>
      <w:pPr>
        <w:ind w:left="900" w:right="80" w:hanging="325"/>
        <w:spacing w:after="0" w:line="25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started monetization of our user base and generated revenue in the third quarter of 2013 primarily through sale of emoticons in our virtual store and our membership subscription services. In the third quarter of 2013, we negotiated online game operation agreements with mobile game developers and integrated online games with our application. Such business development reduced the uncertainties associated with our monetization and business plan. Therefore, we lowered the discount rate used in valuation of our ordinary shares from 35% as of November 1, 2012 to 30% as of October 8, 2013.</w:t>
      </w:r>
    </w:p>
    <w:p>
      <w:pPr>
        <w:spacing w:after="0" w:line="93"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we progressed towards later stage of development and this offering, the liquidity of our ordinary shares increases, resulting in a decrease of lack of marketability discount from 33% as of November 1, 2012 to 20% as of October 8, 2013.</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increase in the fair value of our ordinary shares from US$0.40 per share as of October 8, 2013 to US$4.00 per share as of March 1, 2014 and further to US$4.22 as of April 22, 2014 was primarily attributable to the following factors:</w:t>
      </w:r>
    </w:p>
    <w:p>
      <w:pPr>
        <w:spacing w:after="0" w:line="76" w:lineRule="exact"/>
        <w:rPr>
          <w:sz w:val="20"/>
          <w:szCs w:val="20"/>
          <w:color w:val="auto"/>
        </w:rPr>
      </w:pPr>
    </w:p>
    <w:p>
      <w:pPr>
        <w:jc w:val="both"/>
        <w:ind w:left="900" w:right="200" w:hanging="325"/>
        <w:spacing w:after="0" w:line="31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this period, we experienced continuous growth in our active user base. We launched three mobile games and started generating mobile game revenues during this period. Taking into account the growth in our active user base and the progress of the monetization of our user base, we adjusted our forecasted revenues and earnings upward when preparing financial forecast for valuation as of March 1, 2014.</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raised additional capital by issuing Series D preferred shares at US$4.85 per share in April 2014 to certain investors.</w:t>
      </w:r>
    </w:p>
    <w:p>
      <w:pPr>
        <w:spacing w:after="0" w:line="130"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continued to strengthen our management and finance and accounting functions by appointing Mr. Jonathan Xiaosong Zhang, who has U.S. publicly listed company and extensive financial reporting and auditing experience, as our chief financial officer, whose appointment became effective in May 2014.</w:t>
      </w:r>
    </w:p>
    <w:p>
      <w:pPr>
        <w:spacing w:after="0" w:line="86" w:lineRule="exact"/>
        <w:rPr>
          <w:rFonts w:ascii="Arial" w:cs="Arial" w:eastAsia="Arial" w:hAnsi="Arial"/>
          <w:sz w:val="18"/>
          <w:szCs w:val="18"/>
          <w:color w:val="auto"/>
        </w:rPr>
      </w:pPr>
    </w:p>
    <w:p>
      <w:pPr>
        <w:ind w:left="900" w:right="180" w:hanging="325"/>
        <w:spacing w:after="0" w:line="276"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As our size increases, small size premium, which is a component used in determining our discount rate, decreased. Furthermore, the substantial progress in our monetization, recruitment of key management with extensive experience, the start of our preparation for this offering and completion of Series D financing in April 2014, increased shareholders’ confidence in our business prospect and decreased the uncertainties associated with our financial forecasts. Therefore, we lowered the discount rate used in the valuation of our ordinary shares from 30% as of October 8, 2013 to 21% as of March 1, 2014 and 21% as of April 22, 2014.</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we progressed further towards this offering, we increased our estimated probability of a successful initial public offering. As our preferred shares would be automatically converted into ordinary shares upon the completion of a qualified offering, the increase in estimated probability of initial public offering success results in allocation of a higher portion of our business enterprise value to ordinary shares. The discount for lack of marketability also decreased from 20% as of October 8, 2013 to 14% as of April 22, 2014.</w:t>
      </w:r>
    </w:p>
    <w:p>
      <w:pPr>
        <w:spacing w:after="0" w:line="18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believe that the increase in the fair value of our ordinary shares from US$4.22 as of April 22, 2014, to US$6.75 per share, or US$13.50 per ADS, the midpoint of the estimated price range shown on the front cover of the prospectus divided by the number of Class A ordinary shares represented by each ADS, was primarily attributable to the following factors:</w:t>
      </w:r>
    </w:p>
    <w:p>
      <w:pPr>
        <w:spacing w:after="0" w:line="87" w:lineRule="exact"/>
        <w:rPr>
          <w:sz w:val="20"/>
          <w:szCs w:val="20"/>
          <w:color w:val="auto"/>
        </w:rPr>
      </w:pPr>
    </w:p>
    <w:p>
      <w:pPr>
        <w:ind w:left="900" w:hanging="325"/>
        <w:spacing w:after="0" w:line="255"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this period, we experienced continuous growth in our active users and members basis. The number of monthly active users increased from 42.7 million in March 2014 to 60.2 million in September 2014. We further monetized our user base by introducing more mobile games during the period. We also plan to further monetize our user traffic through referring traffic from our platform to e-commerce companies, online marketplaces and other content or service providers. As a result, we adjusted our forecasted revenues and cash flows upward to reflect the growth of user base and progress of monetization plan, which in turn, reduced the uncertainties associated with our business plan and the underlying financial forecast.</w:t>
      </w:r>
    </w:p>
    <w:p>
      <w:pPr>
        <w:spacing w:after="0" w:line="98"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continued to make substantial progress in the preparation for our initial public offering. This offering will increase the liquidity and marketability of our ordinary shares. It will also provide us with additional capital, enhance our ability to access capital markets and expand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All share-based awards to employees and non-employee, including share options and restricted shares award, are measured at the grant date based on the fair value of the awards. Share-based compensation, net of forfeitures, is recognized as an expense on a straight-line basis over the requisite service period, which is the vesting period.</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sets forth certain information regarding the share options granted under our 2012 Plan to our employees and advisors at different dates in 2012, 2013 and the nine months ended September 30,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3"/>
          </w:tcPr>
          <w:p>
            <w:pPr>
              <w:ind w:left="120"/>
              <w:spacing w:after="0"/>
              <w:rPr>
                <w:sz w:val="20"/>
                <w:szCs w:val="20"/>
                <w:color w:val="auto"/>
              </w:rPr>
            </w:pPr>
            <w:r>
              <w:rPr>
                <w:rFonts w:ascii="Arial" w:cs="Arial" w:eastAsia="Arial" w:hAnsi="Arial"/>
                <w:sz w:val="14"/>
                <w:szCs w:val="14"/>
                <w:b w:val="1"/>
                <w:bCs w:val="1"/>
                <w:color w:val="auto"/>
              </w:rPr>
              <w:t>Weighted</w:t>
            </w: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Intrinsic</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No. of</w:t>
            </w:r>
          </w:p>
        </w:tc>
        <w:tc>
          <w:tcPr>
            <w:tcW w:w="11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Fair</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Value per</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Value per</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Option at</w:t>
            </w: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Type of</w:t>
            </w: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9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Category</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Options</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Price per</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Option at the</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the Grant</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Grant</w:t>
            </w: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Option</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Grant Dates</w:t>
            </w: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Dates</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November</w:t>
            </w:r>
          </w:p>
        </w:tc>
        <w:tc>
          <w:tcPr>
            <w:tcW w:w="2780" w:type="dxa"/>
            <w:vAlign w:val="bottom"/>
            <w:tcBorders>
              <w:top w:val="single" w:sz="8" w:color="CCEEFF"/>
            </w:tcBorders>
            <w:shd w:val="clear" w:color="auto" w:fill="CCEEFF"/>
          </w:tcPr>
          <w:p>
            <w:pPr>
              <w:jc w:val="right"/>
              <w:ind w:right="2050"/>
              <w:spacing w:after="0"/>
              <w:rPr>
                <w:sz w:val="20"/>
                <w:szCs w:val="20"/>
                <w:color w:val="auto"/>
              </w:rPr>
            </w:pPr>
            <w:r>
              <w:rPr>
                <w:rFonts w:ascii="Arial" w:cs="Arial" w:eastAsia="Arial" w:hAnsi="Arial"/>
                <w:sz w:val="18"/>
                <w:szCs w:val="18"/>
                <w:color w:val="auto"/>
              </w:rPr>
              <w:t>1, 2012</w:t>
            </w: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Staff</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9,050,000</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US$0.03</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US$0.16</w:t>
            </w:r>
          </w:p>
        </w:tc>
        <w:tc>
          <w:tcPr>
            <w:tcW w:w="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Retrospective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November 1, 2012</w:t>
            </w:r>
          </w:p>
        </w:tc>
        <w:tc>
          <w:tcPr>
            <w:tcW w:w="1940" w:type="dxa"/>
            <w:vAlign w:val="bottom"/>
            <w:gridSpan w:val="2"/>
          </w:tcPr>
          <w:p>
            <w:pPr>
              <w:spacing w:after="0"/>
              <w:rPr>
                <w:sz w:val="20"/>
                <w:szCs w:val="20"/>
                <w:color w:val="auto"/>
              </w:rPr>
            </w:pPr>
            <w:r>
              <w:rPr>
                <w:rFonts w:ascii="Arial" w:cs="Arial" w:eastAsia="Arial" w:hAnsi="Arial"/>
                <w:sz w:val="18"/>
                <w:szCs w:val="18"/>
                <w:color w:val="auto"/>
              </w:rPr>
              <w:t>Non-employee</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US$0.03</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0.16</w:t>
            </w: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US$0.16</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w w:val="96"/>
              </w:rPr>
              <w:t>Retrospective</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10, 2013</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Staff</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8,580,000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1"/>
              </w:rPr>
              <w:t>US$0.14</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0.29</w:t>
            </w:r>
          </w:p>
        </w:tc>
        <w:tc>
          <w:tcPr>
            <w:tcW w:w="11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1"/>
              </w:rPr>
              <w:t>US$0.26</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Retrospective</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October 10, 2013</w:t>
            </w:r>
          </w:p>
        </w:tc>
        <w:tc>
          <w:tcPr>
            <w:tcW w:w="194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5,500,000</w:t>
            </w:r>
          </w:p>
        </w:tc>
        <w:tc>
          <w:tcPr>
            <w:tcW w:w="48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US$0.14</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0.30</w:t>
            </w: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US$0.26</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w w:val="96"/>
              </w:rPr>
              <w:t>Retrospective</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2014</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4,048,660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1"/>
              </w:rPr>
              <w:t>US$0.14</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3.87</w:t>
            </w:r>
          </w:p>
        </w:tc>
        <w:tc>
          <w:tcPr>
            <w:tcW w:w="11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1"/>
              </w:rPr>
              <w:t>US$3.86</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Retrospective</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March 1, 2014</w:t>
            </w:r>
          </w:p>
        </w:tc>
        <w:tc>
          <w:tcPr>
            <w:tcW w:w="1940" w:type="dxa"/>
            <w:vAlign w:val="bottom"/>
            <w:gridSpan w:val="2"/>
          </w:tcPr>
          <w:p>
            <w:pPr>
              <w:spacing w:after="0"/>
              <w:rPr>
                <w:sz w:val="20"/>
                <w:szCs w:val="20"/>
                <w:color w:val="auto"/>
              </w:rPr>
            </w:pPr>
            <w:r>
              <w:rPr>
                <w:rFonts w:ascii="Arial" w:cs="Arial" w:eastAsia="Arial" w:hAnsi="Arial"/>
                <w:sz w:val="18"/>
                <w:szCs w:val="18"/>
                <w:color w:val="auto"/>
              </w:rPr>
              <w:t>Staff</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444,866</w:t>
            </w: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US$0.14</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3.87</w:t>
            </w: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US$3.86</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w w:val="96"/>
              </w:rPr>
              <w:t>Retrospective</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2014</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Non-employee</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1"/>
              </w:rPr>
              <w:t>US$0.14</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3.87</w:t>
            </w:r>
          </w:p>
        </w:tc>
        <w:tc>
          <w:tcPr>
            <w:tcW w:w="11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1"/>
              </w:rPr>
              <w:t>US$3.86</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Retrospective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estimated the fair value of share options using the binomial option-pricing model with the assistance from an independent valuation firm. The fair value of each option grant is estimated on the date of grant with the following key assumptions: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November 1, 2012</w:t>
            </w:r>
          </w:p>
        </w:tc>
        <w:tc>
          <w:tcPr>
            <w:tcW w:w="20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October 10, 2013</w:t>
            </w:r>
          </w:p>
        </w:tc>
        <w:tc>
          <w:tcPr>
            <w:tcW w:w="15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March 1, 2014</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w:t>
            </w:r>
          </w:p>
        </w:tc>
        <w:tc>
          <w:tcPr>
            <w:tcW w:w="42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w:t>
            </w:r>
          </w:p>
        </w:tc>
        <w:tc>
          <w:tcPr>
            <w:tcW w:w="4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Contractual term (number of years)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61.70%</w:t>
            </w:r>
          </w:p>
        </w:tc>
        <w:tc>
          <w:tcPr>
            <w:tcW w:w="2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54.40%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20" w:type="dxa"/>
            <w:vAlign w:val="bottom"/>
            <w:gridSpan w:val="3"/>
          </w:tcPr>
          <w:p>
            <w:pPr>
              <w:jc w:val="right"/>
              <w:ind w:right="420"/>
              <w:spacing w:after="0"/>
              <w:rPr>
                <w:sz w:val="20"/>
                <w:szCs w:val="20"/>
                <w:color w:val="auto"/>
              </w:rPr>
            </w:pPr>
            <w:r>
              <w:rPr>
                <w:rFonts w:ascii="Arial" w:cs="Arial" w:eastAsia="Arial" w:hAnsi="Arial"/>
                <w:sz w:val="18"/>
                <w:szCs w:val="18"/>
                <w:color w:val="auto"/>
              </w:rPr>
              <w:t>0.00%</w:t>
            </w:r>
          </w:p>
        </w:tc>
        <w:tc>
          <w:tcPr>
            <w:tcW w:w="2060" w:type="dxa"/>
            <w:vAlign w:val="bottom"/>
            <w:gridSpan w:val="3"/>
          </w:tcPr>
          <w:p>
            <w:pPr>
              <w:jc w:val="right"/>
              <w:ind w:right="440"/>
              <w:spacing w:after="0"/>
              <w:rPr>
                <w:sz w:val="20"/>
                <w:szCs w:val="20"/>
                <w:color w:val="auto"/>
              </w:rPr>
            </w:pPr>
            <w:r>
              <w:rPr>
                <w:rFonts w:ascii="Arial" w:cs="Arial" w:eastAsia="Arial" w:hAnsi="Arial"/>
                <w:sz w:val="18"/>
                <w:szCs w:val="18"/>
                <w:color w:val="auto"/>
              </w:rPr>
              <w:t>0.00%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350"/>
        </w:trPr>
        <w:tc>
          <w:tcPr>
            <w:tcW w:w="2980" w:type="dxa"/>
            <w:vAlign w:val="bottom"/>
          </w:tcPr>
          <w:p>
            <w:pPr>
              <w:spacing w:after="0"/>
              <w:rPr>
                <w:sz w:val="24"/>
                <w:szCs w:val="24"/>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October 2014, we granted to our employees options to purchase 2,963,500 ordinary shares with exercise price of $0.0002 per share and vesting period of 4 years. Given the proximity of the grant to our proposed initial public offering, we plan to use US$6.75, which is the mid-point of the estimated initial public offering range indicated on the front cover page of this prospectus, as the fair value per share underlying the options granted in October 2014. As a result, we expect to incur approximately US$20 million share-based compensation expense in connection with the October 2014 option grant over the four-year vesting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July 2013, the FASB issued a pronouncement which provides guidance on financial statement presentation of an unrecognized tax benefits when a net operating loss carry forward, a similar tax loss, or a tax credit carry forward exists. The FASB’s objective in issuing this ASU is to eliminate diversity in practice resulting from a lack of guidance on this topic in current U.S. GAAP.</w:t>
      </w:r>
    </w:p>
    <w:p>
      <w:pPr>
        <w:spacing w:after="0" w:line="18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The amendments in this ASU state that an unrecognized tax benefit, or a portion of an unrecognized tax benefit, should be presented in the financial statements as a reduction to a deferred tax asset for a net operating loss carry forward, a similar tax loss, or a tax credit carry forward, except as follows. To the extent a net operating loss carry forward, a similar tax loss, or a tax credit carry 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w:t>
      </w:r>
    </w:p>
    <w:p>
      <w:pPr>
        <w:spacing w:after="0" w:line="16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ASU applies to all entities that have unrecognized tax benefits when a net operating loss is carried forward, a similar tax loss, or a tax credit carry-forward exists at the reporting date. The amendments in this ASU are effective for fiscal years, and interim periods within those years, beginning after December 15, 2013. Early adoption is permitted. The amendments should be applied prospectively to all unrecognized tax benefits that exist at the effective date. Retrospective application is permitted. The adoption of this guidance did not have a significant effect on our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May 2014, the FASB issued, ASU 2014-09, “Revenue from Contracts with Customers (Topic 606).” The guidance substantially converges final standards on revenue recognition between the FASB and the International Accounting Standards Board providing a framework on addressing revenue recognition issues and, upon its effective date, replaces almost all exiting revenue recognition guidance, including industry-specific guidance, in current U.S. generally accepted accounting principles.</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revenues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87"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Step 1: Identify the contract(s) with a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Step 5: Recognize revenue when (or as) the entity satisfies a performance obligation.</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For a public entity, the amendments in this ASU are effective for annual reporting periods beginning after December 15, 2016, including interim periods within those reporting periods. Early application is not permitted. We are in the process of evaluating the impact of adoption of this guidance on our consolidated financial statements.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June 2014, the FASB issued a new pronouncement which requires that a performance target that affects vesting and that could be achieved after the requisite service period is treated as a performance condition. A reporting entity should apply existing guidance in Topic 718, Compensation—Stock Compensation, as it relates to awards with performance conditions that affect vesting to account for such awards.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The amendments in this ASU are effective for annual periods and interim periods within those annual periods beginning after December 15, 2015. Earlier adoption is permitted. We do not expect the adoption of this guidance will have a significant effect on our consolidated financial statements.</w:t>
      </w:r>
    </w:p>
    <w:p>
      <w:pPr>
        <w:spacing w:after="0" w:line="17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August 2014, the FASB issued a new pronouncement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 if there is “substantial doubt about the entity’s ability to continue as a going concern.” The new standard is effective for fiscal years ending after December 15, 2016. We do not expect the adoption of this guidance to have a significant effect on our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revenues and costs are mostly denominated in RMB, and a significant portion of our financial assets are also denominated in RMB, whereas our reporting currency is the U.S. dollar. The Renminbi is not freely convertible into foreign currencies for capital account transactions. The value of the Renminbi against the U.S. dollar and other currencies is affected by, among other things, changes in China’s political and economic conditions and China’s foreign exchange policies. On July 21, 2005, the PRC government changed its decade-old policy of pegging the value of the RMB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It is difficult to predict how market forces or PRC or U.S. government policy may impact the exchange rate between the Renminbi and the U.S. dollar in the future. To date, we have not entered into any hedging transactions in an effort to reduce our exposure to foreign currency exchange risk.</w:t>
      </w:r>
    </w:p>
    <w:p>
      <w:pPr>
        <w:spacing w:after="0" w:line="19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net revenues, as denominated in RMB, was RMB161.7 million in the nine months ended September 30, 2014. Assuming that we convert the full amount of our net revenues in the nine months ended September 30, 2014 into U.S. dollars, a 10% appreciation of the U.S. dollar against RMB, from a rate of RMB6.1650 to US$1.00, which was the average RMB to U.S. dollars exchange rate in the nine months ended September 30, 2014, to a rate of RMB6.7815 to US$1.00, will result in a decrease of US$2.4 million in our net revenues in the nine months ended September 30, 2014. Conversely, a 10% depreciation of the U.S. dollar against the RMB, from a rate of RMB6.1650 to US$1.00 to a rate of RMB5.5485 to US$1.00, will result in an increase of US$2.9 million in our net revenues in the nine months ended September 30, 2014.</w:t>
      </w:r>
    </w:p>
    <w:p>
      <w:pPr>
        <w:spacing w:after="0" w:line="17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Our net loss, as denominated in RMB, was RMB108.2 million in the nine months ended September 30, 2014. Assuming that we convert the full amount of our net loss in the first half of 2014 into U.S. dollars, a 10%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appreciation of the U.S. dollar against RMB, from a rate of RMB6.1650 to US$1.00 to a rate of RMB6.7815 to US$1.00, will result in a decrease of US$1.5 million in our net loss in the nine months ended September 30, 2014. Conversely, a 10% depreciation of the U.S. dollar against the RMB, from a rate of RMB6.1650 to US$1.00 to a rate of RMB5.5485 to US$1.00, will result in an increase of US$2.0 million in our net loss in the nine months ended September 30,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Our exposure to interest rate risk primarily relates to the interest income generated by excess cash, which is mostly held in interest-bearing bank deposits. We generated interest income of US$3 thousand, US$32 thousand and US$0.3 million in 2012, 2013 and the nine months ended September 30, 2014, respectively. Interest-earning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20"/>
          </w:cols>
          <w:pgMar w:left="24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Mobile Internet Market</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global mobile internet industry has witnessed rapid growth with the continuous enhancement of internet infrastructure, proliferation of mobile devices and advancement in wireless technology. According to eMarketer, global mobile inte</w:t>
      </w:r>
      <w:r>
        <w:rPr>
          <w:rFonts w:ascii="Arial" w:cs="Arial" w:eastAsia="Arial" w:hAnsi="Arial"/>
          <w:sz w:val="18"/>
          <w:szCs w:val="18"/>
          <w:u w:val="single" w:color="auto"/>
          <w:color w:val="auto"/>
        </w:rPr>
        <w:t>r</w:t>
      </w:r>
      <w:r>
        <w:rPr>
          <w:rFonts w:ascii="Arial" w:cs="Arial" w:eastAsia="Arial" w:hAnsi="Arial"/>
          <w:sz w:val="18"/>
          <w:szCs w:val="18"/>
          <w:color w:val="auto"/>
        </w:rPr>
        <w:t>net users totaled 1.9 billion in 2013, representing a CAGR of 29.3% over 1.2 billion in 2011, and are expected to reach 3.0 billion in 2017.</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Global mobile internet users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9635" cy="9779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9963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Source: eMarketer, June 2014</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Mobile Internet Market</w:t>
      </w:r>
    </w:p>
    <w:p>
      <w:pPr>
        <w:spacing w:after="0" w:line="121"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Similar to the global market, the mobile internet population in China has also grown substantially. According to eMarketer, the number of mobile internet users in China grew from 375.6 million in 2011 to 556.1 million in 2013, representing a CAGR of 21.7%, and is expected to further increase to 712.4 million in 2017.</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China mobile internet users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169545</wp:posOffset>
            </wp:positionV>
            <wp:extent cx="4707890" cy="11061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0789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Source: eMarketer, June 2014</w:t>
      </w:r>
    </w:p>
    <w:p>
      <w:pPr>
        <w:spacing w:after="0" w:line="20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rising popularity of smartphones is expected to fuel the growth of mobile internet usage in China. According to Analysys, smartphone shipments in China are expected to reach 592.5 million in 2017, rising from 343.1 million in 2013, representing a CAGR of 14.6%. The increasing affordability of new smartphone models is a key contributing factor to the rapid growth of the smartphone market in China. According to Analysys, smartphones sold for below RMB700.0 accounted only for approximately 10% of all smartphones sales in China in 2012, whereas in 2017, it is expected that approximately 40% of total smartphone sales in China will be below RMB700.</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Social Networking in 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of mobile social networking in China</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Mobile social networking applications refer to social networking applications that are downloaded and installed on mobile devices. Mobile social networking in China has undergone three stages of evolution: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Stage one: social networking migrating from PC to mobile (2003-2011)</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launch of Mobile QQ in 2003 initiated the emergence of mobile social networking applications in China. During this period, mobile social networking applications were simple extensions of PC-based social networks and services onto mobile devices. For instance, Mobile QQ users were generally original desktop QQ users who wanted to keep connected with their QQ friends on mobile devices. Simple text messages and pictures were the main communication formats.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Stage two: social services integrating enhanced mobile features (2011-2012)</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 number of social networking applications started to integrate some enhanced features of mobile devices, such as cameras and speakers, to perform specific social functions. Content exchanged on mobile social networking applications became more diverse in terms of formats. This stage witnessed the success of mobile Weibo and the emergence of Weixin.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Stage three: the rise of new social networking applications exclusively on mobile devices (2012-present)</w:t>
      </w:r>
    </w:p>
    <w:p>
      <w:pPr>
        <w:spacing w:after="0" w:line="117" w:lineRule="exact"/>
        <w:rPr>
          <w:sz w:val="20"/>
          <w:szCs w:val="20"/>
          <w:color w:val="auto"/>
        </w:rPr>
      </w:pPr>
    </w:p>
    <w:p>
      <w:pPr>
        <w:ind w:right="480" w:firstLine="456"/>
        <w:spacing w:after="0" w:line="302" w:lineRule="auto"/>
        <w:rPr>
          <w:sz w:val="20"/>
          <w:szCs w:val="20"/>
          <w:color w:val="auto"/>
        </w:rPr>
      </w:pPr>
      <w:r>
        <w:rPr>
          <w:rFonts w:ascii="Arial" w:cs="Arial" w:eastAsia="Arial" w:hAnsi="Arial"/>
          <w:sz w:val="16"/>
          <w:szCs w:val="16"/>
          <w:color w:val="auto"/>
        </w:rPr>
        <w:t>With the further development of the mobile internet, new social networking applications that are exclusively available on mobile devices became popular. For instance, mobile location-based services gained strong momentum, which led to the fast growth of social networking applications, such as Momo, that connect users with each other. Innovative and popular mobile applications that have attracted a large user base have evolved into widely recognized social networking platforms with a variety of features and functionalities for users, customers and platform partners.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social instant messaging in China</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Mobile social instant messaging, or mobile social IM, applications integrate both social networking and instant messaging functions via mobile internet.</w:t>
      </w:r>
    </w:p>
    <w:p>
      <w:pPr>
        <w:spacing w:after="0" w:line="17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Mobile social IM is the most popular activity among mobile internet users in China. According to Analysys, mobile social IM applications ranked the highest among all mobile applications in China in terms of the average number of times each user opens the application per day in the third quarter of 2014, followed by typing method applications and mobile security applications. The total number of registered accounts on mobile social IM applications in China reached 1.7 billion as of 2013, and is expected to reach 3.7 billion in 2017.</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According to Analysys, Weixin, Mobile QQ and Momo ranked as the top three mobile social IM applications in China in terms of average MAUs, average DAUs and daily average length of usage per user in the third quarter of 2014; and Momo ranked No. 2, after Weixin, in terms of the average number of times each user opens the application per day during the same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Monetization Models of Mobile Social Networking Platforms in China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China, mobile games and mobile marketing are common monetization methods for mobile-based social networking platforms.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mobile game market</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Unlike console and PC games, mobile games can be played anytime and anywhere. Mobile games typically monetize through the in-game purchase of virtual items. According to Analysys, the mobile game market in China has expanded rapidly and reached a total market size of RMB13.9 billion (US$2.3 billion) in 2013 and is expected to further grow at a CAGR of 39.6% to RMB52.8 billion (US$8.7 billion) in 2017.</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China mobile game market size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(RMB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168910</wp:posOffset>
            </wp:positionV>
            <wp:extent cx="4845050" cy="12007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4505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Source: Analysys, June 2014</w:t>
      </w:r>
    </w:p>
    <w:p>
      <w:pPr>
        <w:spacing w:after="0" w:line="20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Mobile games in China have begun to integrate with and benefit from synergies with mobile social networking platforms. Mobile social networking platforms are natural marketing and distribution channels for mobile games, able to direct to them large and stable user traffic and facilitate healthy growth by providing high quality game operating environment. In addition, mobile social networking platforms enhance player interaction and improve player stickiness through social functions such as player rankings, competitions, and in-game virtual item exchanges. On the other hand, mobile games help mobile social networking platforms attract and retain users, increase user engagement, enrich platform content, enhance user stickiness, and accelerate the monetization.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mobile marketing market</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Mobile marketing market in China has experienced rapid growth in recent years. According to Analysys, the size of the mobile marketing market in China reached RMB13.4 billion (US$2.2 billion) in 2013, and is expected to further grow at a CAGR of 69.5% to RMB110.8 billion (US$18.3 billion) in 2017.</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China mobile marketing market size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(RMB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169545</wp:posOffset>
            </wp:positionV>
            <wp:extent cx="4845050" cy="12007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4505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Source: Analysys, June 2014.</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Mobile social networking platforms are rapidly changing the landscape of mobile marketing. The advantages of mobile social networking platforms are increasingly valued by advertisers. At any given moment, tens of millions of texts, pictures, videos, comments, web links and geographic locations are generated and shared on mobile social networking platforms. These data are accumulated and analyzed in order to improve the efficacy of advertising placements. Location-based services and interest-based socializing, in particular, allow mobile marketing customers to target more specific audiences or geographic regions. In addition, mobile social networking platforms transform mobile marketing from passive dissemination to active promotion. The interaction among mobile social networking platform users improves advertising effectiveness, giving platforms such as Weixin and Momo significant advantages. In addition, close personal relationships and frequent communications on these platforms make it possible to improve the efficiency of mobile marketing.</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Momo connects people in a personal and lively way.</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Momo is a revolutionary mobile-based social networking platform. We enable users to establish and expand social relationships based on location and interests. Our platform includes our Momo mobile application and a variety of related features, functionalities, tools and services that we provide to users, customers and platform partners. We have established Momo as one of China’s leading mobile social networking platforms in less than three years since our inception.</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Momo has become an integral part of the daily lives of many people in China, where the increasing proliferation of smartphones and network enhancement allow more people to be connected anytime and anywhere. With powerful and precise location-based features, we enable our users to connect with each other and expand relationships from online to offline, thereby making their social networking experience more real, personal and multi-dimensional.</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aim to offer our users an authentic social experience by encouraging them to provide detailed personal information on Momo. Leveraging our social interest graph engine and our analysis of user behavior data, we are able to provide users a customized experience based on their social preferences and needs. Momo users can maintain and strengthen their relationships through our private and group communication tools, content creation and sharing functions, as well as the offline social activities promoted on our platform.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user base has grown rapidly since we launched Momo in August 2011, as evidenced by the following:</w:t>
      </w:r>
    </w:p>
    <w:p>
      <w:pPr>
        <w:spacing w:after="0" w:line="13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had 180.3 million registered users as of September 30, 2014, representing an increase of 160.8% from September 30,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MAUs reached 60.2 million in September 2014, representing an increase of 112.8% from September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average DAUs reached 25.5 million in September 2014, representing an increase of 140.6% from September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had 2.3 million members as of September 30, 2014, representing an increase of 659.9% from as of September 30, 2013.</w:t>
      </w:r>
    </w:p>
    <w:p>
      <w:pPr>
        <w:spacing w:after="0" w:line="130" w:lineRule="exact"/>
        <w:rPr>
          <w:rFonts w:ascii="Arial" w:cs="Arial" w:eastAsia="Arial" w:hAnsi="Arial"/>
          <w:sz w:val="18"/>
          <w:szCs w:val="18"/>
          <w:color w:val="auto"/>
        </w:rPr>
      </w:pPr>
    </w:p>
    <w:p>
      <w:pPr>
        <w:ind w:left="900" w:right="580" w:hanging="325"/>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users sent a daily average of 655.2 million one-to-one messages, representing a daily average of 26 one-to-one messages per DAU, in September 2014; 63.5% of these messages were exchanged among people who had already followed each other.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large, growing and engaged user base creates powerful network effects and a high barrier to entry.</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Amid the fast evolving mobile internet market in China, we have focused on building and growing our user base and improving user experience. Our Momo mobile application is free of charge. We began to generate revenues in July 2013 from our membership subscription package, which provides members with additional functions and privileges. We generated 68.1% of our net revenues from membership subscription fees in the nine months ended September 30, 2014. We also began to generate revenues from mobile games, paid emoticons and mobile marketing services in the second half of 2013. We believe our large, engaged user base makes Momo attractive to mobile marketing customers and platform partners. Our revenues increased significantly from US$0.8 million in the nine months ended September 30, 2013 to US$26.2 million in the nine months ended September 30, 2014. We had net losses of US$3.8 million, US$9.3 million and US$22.9 million in 2012, 2013 and the nine months ended September 30, 2014, respectively.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success to date is largely attributable to the following key competitive strengths: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leading mobile-based social networking platform in China</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leading mobile-based social networking platform in China. According to Analysys, Momo ranked No. 2 among all mobile social IM applications in China in the third quarter of 2014, immediately after Weixin, in terms of the average number of times each user opens the application per day, and Momo ranked No. 3, immediately after Weixin and Mobile QQ, in terms of average MAUs, average DAUs and daily average length of usage per user during the same period.</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Since we launched Momo three years ago, we have rapidly amassed a large user base in China primarily through organic growth. As of September 30, 2014, our registered users reached 180.3 million. In September 2014, our MAUs reached 60.2 million, an increase of 112.8% from September 2013; and our average DAUs reached 25.5 million, an increase of 140.6% from September 2013.</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believe that our large and highly engaged user base is an important business driver as it forms a large community in which our users can establish and expand social relationships based on location and interest. Our large user community provides a more captivating user experience, increases user stickiness and, in turn, attracts new users. In addition, our large and highly engaged user base provides us valuable data and feedback that enable us to fine-tune our services to better anticipate and meet the diverse social networking needs of our users, which further increases user stickiness and strengthens our leading market position. As a result, we believe that our large and highly engaged user base creates a high barrier to entry and allows us to compete effectively, continue to strengthen our brand and attract more users, customers and platform partners.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Innovative location-based social networking platform</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We believe we are a pioneer in the location-based mobile social networking market in China. Through our proprietary technologies, our platform enables users to develop location-based online social relationships that they can then choose to further develop into offline relationships. In September 2014, our users on average refreshed their own </w:t>
      </w:r>
      <w:r>
        <w:rPr>
          <w:rFonts w:ascii="Arial" w:cs="Arial" w:eastAsia="Arial" w:hAnsi="Arial"/>
          <w:sz w:val="18"/>
          <w:szCs w:val="18"/>
          <w:i w:val="1"/>
          <w:iCs w:val="1"/>
          <w:color w:val="auto"/>
        </w:rPr>
        <w:t>Nearby People</w:t>
      </w:r>
      <w:r>
        <w:rPr>
          <w:rFonts w:ascii="Arial" w:cs="Arial" w:eastAsia="Arial" w:hAnsi="Arial"/>
          <w:sz w:val="18"/>
          <w:szCs w:val="18"/>
          <w:color w:val="auto"/>
        </w:rPr>
        <w:t xml:space="preserve"> lists 167.0 million times every day.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Momo mobile application presents to users a curated list of nearby users, featuring pictures, proximity, last log-in time, and other detailed profile information on their personal page, such as gender, age, horoscope, occupation and interests. Our users can customize these lists by viewing nearby people with specific attributes. The detailed location and personal information allows users to discover nearby users whom they are interested in connecting or share similar interests with. Our application can precisely locate users in units of five meters. Users can contact each other via messaging or other communication tools on our platform to effectively develop new relationships.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Momo users can also create or participate in location-based groups, which are generally established around a certain point of interest, or POI. POIs include residential complexes, educational institutions, and commercial buildings, which are popular focal points for establishing and maintaining social relationships. Our location-based groups covered over 349 thousand residential complexes, 110 thousand educational institutions, and 84 thousand commercial buildings in China as of September 30, 2014. In these groups, users are able to interact with people nearby who share similar interests, making it easier for them to extend online interactions offline. We limit the size of each group to 100 users in order to foster closer communities with higher user engagement and more interactions. To cultivate offline social interactions among Momo users, our application features nearby offline events, such as concerts, plays and museum exhibits, where our users can gather and mingle.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20"/>
          </w:cols>
          <w:pgMar w:left="24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High user engagement powered by a variety of functionalities</w:t>
      </w:r>
    </w:p>
    <w:p>
      <w:pPr>
        <w:spacing w:after="0" w:line="11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Our large and organically growing user base, coupled with our high user engagement, has formed a strong network effect. Our users sent a daily average of 655.2 million one-to-one messages in September 2014, 63.5% of which were exchanged among people who had already followed each other. In September 2014, on average each DAU launched our application 20 times and used our application for 34 minutes on a daily basis.</w:t>
      </w:r>
    </w:p>
    <w:p>
      <w:pPr>
        <w:spacing w:after="0" w:line="166"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Our location-based groups have also expanded significantly. Our users have formed 4.5 million groups based on various locations and interests as of September 30, 2014. Our monthly active location-based groups have grown from 0.7 million in September 2013 to 2.0 million in September 2014. Users in our location-based groups are highly engaged because these groups are typically interest-focused. Users located in nearby neighborhoods and who share the same interests are more likely to interact with each other. An average of 222.4 million messages in location-based groups were sent every day in September 2014, representing a daily average of 208 messages sent in an active group. Our location-based groups have been increasingly used, as 44.7% of our DAUs in September 2014 have joined at least one group, up from 33.9% in September 2013.</w:t>
      </w:r>
    </w:p>
    <w:p>
      <w:pPr>
        <w:spacing w:after="0" w:line="16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In addition to </w:t>
      </w:r>
      <w:r>
        <w:rPr>
          <w:rFonts w:ascii="Arial" w:cs="Arial" w:eastAsia="Arial" w:hAnsi="Arial"/>
          <w:sz w:val="18"/>
          <w:szCs w:val="18"/>
          <w:i w:val="1"/>
          <w:iCs w:val="1"/>
          <w:color w:val="auto"/>
        </w:rPr>
        <w:t>Nearby People</w:t>
      </w:r>
      <w:r>
        <w:rPr>
          <w:rFonts w:ascii="Arial" w:cs="Arial" w:eastAsia="Arial" w:hAnsi="Arial"/>
          <w:sz w:val="18"/>
          <w:szCs w:val="18"/>
          <w:color w:val="auto"/>
        </w:rPr>
        <w:t xml:space="preserve"> and </w:t>
      </w:r>
      <w:r>
        <w:rPr>
          <w:rFonts w:ascii="Arial" w:cs="Arial" w:eastAsia="Arial" w:hAnsi="Arial"/>
          <w:sz w:val="18"/>
          <w:szCs w:val="18"/>
          <w:i w:val="1"/>
          <w:iCs w:val="1"/>
          <w:color w:val="auto"/>
        </w:rPr>
        <w:t>Groups</w:t>
      </w:r>
      <w:r>
        <w:rPr>
          <w:rFonts w:ascii="Arial" w:cs="Arial" w:eastAsia="Arial" w:hAnsi="Arial"/>
          <w:sz w:val="18"/>
          <w:szCs w:val="18"/>
          <w:color w:val="auto"/>
        </w:rPr>
        <w:t xml:space="preserve">, our application also features </w:t>
      </w:r>
      <w:r>
        <w:rPr>
          <w:rFonts w:ascii="Arial" w:cs="Arial" w:eastAsia="Arial" w:hAnsi="Arial"/>
          <w:sz w:val="18"/>
          <w:szCs w:val="18"/>
          <w:i w:val="1"/>
          <w:iCs w:val="1"/>
          <w:color w:val="auto"/>
        </w:rPr>
        <w:t>Message Board</w:t>
      </w:r>
      <w:r>
        <w:rPr>
          <w:rFonts w:ascii="Arial" w:cs="Arial" w:eastAsia="Arial" w:hAnsi="Arial"/>
          <w:sz w:val="18"/>
          <w:szCs w:val="18"/>
          <w:color w:val="auto"/>
        </w:rPr>
        <w:t xml:space="preserve">, </w:t>
      </w:r>
      <w:r>
        <w:rPr>
          <w:rFonts w:ascii="Arial" w:cs="Arial" w:eastAsia="Arial" w:hAnsi="Arial"/>
          <w:sz w:val="18"/>
          <w:szCs w:val="18"/>
          <w:i w:val="1"/>
          <w:iCs w:val="1"/>
          <w:color w:val="auto"/>
        </w:rPr>
        <w:t>Topics and Nearby Events</w:t>
      </w:r>
      <w:r>
        <w:rPr>
          <w:rFonts w:ascii="Arial" w:cs="Arial" w:eastAsia="Arial" w:hAnsi="Arial"/>
          <w:sz w:val="18"/>
          <w:szCs w:val="18"/>
          <w:color w:val="auto"/>
        </w:rPr>
        <w:t>, all of which enhance user stickiness by providing more contents for users to interact with each other based on location and interests. To further enhance user stickiness, we also offer mobile games on our platform.</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Superior user experience supported by strong technology capabilities</w:t>
      </w:r>
    </w:p>
    <w:p>
      <w:pPr>
        <w:spacing w:after="0" w:line="117"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We are focused on providing a superior user experience. We believe we are at the forefront of social mobile service development and technological application. Our platform is built on technologies that can process and analyze bulk data generated by millions of users instantaneously. Our big data analytical capabilities enable us to develop an in-depth understanding of our users and categorize users based on their social preferences and behavioral patterns. Leveraging our analysis of user behavior data, as well as our social interest graph recommendation engine, we have developed a tiering system for our users whereby each user is assigned a score based primarily on his or her behavioral patterns, profile creditability, degree of engagement, and quality of interactions with other users. By classifying our users in this fashion, we can connect users to each other based on their social preferences and needs and increase the likelihood of establishing a new relationship. By doing so, we are able to foster a healthier ecosystem and encourage mutual respect and trust within Momo communities.</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rich experience in developing location-based mobile services. Our technology enables more precise location identification and the implementation of various other innovative location-based functions on our platform. Our proprietary networking protocols ensure fast, reliable, and stable mobile communications under different network environments and across different mobile devices. Our proprietary scalable distributed storage system reduces our storage costs and enhances stability for our large user base. Our technological expertise and experience allow us to quickly identify, anticipate and address the needs of our users, and will enable us to continue to introduce new features to enhance user experience and increase user stickiness.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Visionary and experienced management team</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Our senior management team has strong passion and vision in the mobile internet industry. The team possesses extensive experience in China’s internet industry and a deep understanding of China’s young population. Many of our senior management have experience in working at renowned internet companies, where they have accumulated strong execution and management capabilities. We have developed a cohesive and vibrant corporate culture that inspires and encourages innovation, which we believe helps us to attract, retain and motivate an aspiring team to drive our fast growth. Under the leadership of our senior management team, we have developed strong execution capabilities which have enabled us to grow to our current scale and to achieve the market leadership in a short period of time. Mr. Yan Tang, our co-founder, chairman and chief executive officer, was named by </w:t>
      </w:r>
      <w:r>
        <w:rPr>
          <w:rFonts w:ascii="Arial" w:cs="Arial" w:eastAsia="Arial" w:hAnsi="Arial"/>
          <w:sz w:val="16"/>
          <w:szCs w:val="16"/>
          <w:i w:val="1"/>
          <w:iCs w:val="1"/>
          <w:color w:val="auto"/>
        </w:rPr>
        <w:t>Fortune Magazine</w:t>
      </w:r>
      <w:r>
        <w:rPr>
          <w:rFonts w:ascii="Arial" w:cs="Arial" w:eastAsia="Arial" w:hAnsi="Arial"/>
          <w:sz w:val="16"/>
          <w:szCs w:val="16"/>
          <w:color w:val="auto"/>
        </w:rPr>
        <w:t xml:space="preserve"> as one of its “40 Under 40,” a list of the most powerful, influential and important business elites under the age of 40 in October 2014.</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believe that we have significant opportunities to further enhance the value we deliver to our users, customers and platform partners. We plan to execute the following growth strategies: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user community</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most critical element in our growth strategy is to rapidly expand our user community. China has the world’s largest smartphone population and is currently our biggest market. We plan to further increase our market share in China by, among other things, increasing our penetration among users across different age groups.</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will continue to build our presence among Chinese speaking populations around the world and seek to foster a broader and more engaged user community. We also plan to launch a new mobile application designed to attract English speakers.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Enhance our user experience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User engagement is instrumental to the growth of our business. We seek to provide the most captivating user experience to increase user engagement and build a more trustworthy, dynamic and healthy social networking ecosystem.</w:t>
      </w:r>
    </w:p>
    <w:p>
      <w:pPr>
        <w:spacing w:after="0" w:line="17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will focus on building tools for data analytics and analyzing user behavior patterns and level of engagement. We plan to further fine tune our user tiering system, expand communication channels among users, and promote more interactions among Momo users. In addition, we will continue optimizing our service features and functions to allow more users to communicate via Momo and discover its unique service features that can then expand their social relationships.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believe new generations of mobile devices will build in more multimedia features. We plan to work with more content providers to diversify the entertainment options on our platform, including online music, books and videos. This greater variety of content will provide a more integrated and engaging mobile social platform to enrich the interaction among our users.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monetization capabilities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plan to increase revenues generated through membership subscription fees by offering more premium services to our frequent users and new functionalities accessible by members only. We will also develop a loyalty program that provides membership packages with special privileges to different tiers of members, which we believe can enhance user stickiness and membership conversion. In addition, we intend to furnish more online to offline services to our members by partnering with local businesses to offer promotions, such as shopping reward points, movie coupons and food vouchers. We believe that expanding offerings available exclusively to members will encourage more users to subscribe to our membership services.</w:t>
      </w:r>
    </w:p>
    <w:p>
      <w:pPr>
        <w:spacing w:after="0" w:line="173"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We plan to partner with third-party game developers and to develop games in-house in order to offer more games tailored to our platform, which we believe will not only increase the interactions among users and communication within groups, but also broaden our revenue sources.</w:t>
      </w:r>
    </w:p>
    <w:p>
      <w:pPr>
        <w:spacing w:after="0" w:line="14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We will continue to build our mobile marketing business. Leveraging on our unique location-based services and technologies, as well as our big data analytical capabilities, we can connect our users with local merchants by distributing more local lifestyle, shopping and entertainment information to our users. In addition, we plan to develop more innovative and native advertising and comprehensive mobile marketing solutions for our mobile marketing customers. In August 2014, we launched </w:t>
      </w:r>
      <w:r>
        <w:rPr>
          <w:rFonts w:ascii="Arial" w:cs="Arial" w:eastAsia="Arial" w:hAnsi="Arial"/>
          <w:sz w:val="17"/>
          <w:szCs w:val="17"/>
          <w:i w:val="1"/>
          <w:iCs w:val="1"/>
          <w:color w:val="auto"/>
        </w:rPr>
        <w:t>Dao Dian Tong</w:t>
      </w:r>
      <w:r>
        <w:rPr>
          <w:rFonts w:ascii="Arial" w:cs="Arial" w:eastAsia="Arial" w:hAnsi="Arial"/>
          <w:sz w:val="17"/>
          <w:szCs w:val="17"/>
          <w:color w:val="auto"/>
        </w:rPr>
        <w:t>, our marketing solution for local merchants.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Through </w:t>
      </w:r>
      <w:r>
        <w:rPr>
          <w:rFonts w:ascii="Arial" w:cs="Arial" w:eastAsia="Arial" w:hAnsi="Arial"/>
          <w:sz w:val="17"/>
          <w:szCs w:val="17"/>
          <w:i w:val="1"/>
          <w:iCs w:val="1"/>
          <w:color w:val="auto"/>
        </w:rPr>
        <w:t>Dao Dian Tong</w:t>
      </w:r>
      <w:r>
        <w:rPr>
          <w:rFonts w:ascii="Arial" w:cs="Arial" w:eastAsia="Arial" w:hAnsi="Arial"/>
          <w:sz w:val="17"/>
          <w:szCs w:val="17"/>
          <w:color w:val="auto"/>
        </w:rPr>
        <w:t xml:space="preserve">, we allow local merchants to set up business profile pages, including business descriptions and illustrative pictures, on our mobile application. Our users are able to communicate with these local merchants using our instant messaging function and archive local businesses that they like. As of September 30, 2014, we have received over 110 thousand applications from local merchants intending to set up business profile pages through </w:t>
      </w:r>
      <w:r>
        <w:rPr>
          <w:rFonts w:ascii="Arial" w:cs="Arial" w:eastAsia="Arial" w:hAnsi="Arial"/>
          <w:sz w:val="17"/>
          <w:szCs w:val="17"/>
          <w:i w:val="1"/>
          <w:iCs w:val="1"/>
          <w:color w:val="auto"/>
        </w:rPr>
        <w:t>Dao Dian</w:t>
      </w:r>
      <w:r>
        <w:rPr>
          <w:rFonts w:ascii="Arial" w:cs="Arial" w:eastAsia="Arial" w:hAnsi="Arial"/>
          <w:sz w:val="17"/>
          <w:szCs w:val="17"/>
          <w:color w:val="auto"/>
        </w:rPr>
        <w:t xml:space="preserve"> </w:t>
      </w:r>
      <w:r>
        <w:rPr>
          <w:rFonts w:ascii="Arial" w:cs="Arial" w:eastAsia="Arial" w:hAnsi="Arial"/>
          <w:sz w:val="17"/>
          <w:szCs w:val="17"/>
          <w:i w:val="1"/>
          <w:iCs w:val="1"/>
          <w:color w:val="auto"/>
        </w:rPr>
        <w:t>Tong</w:t>
      </w:r>
      <w:r>
        <w:rPr>
          <w:rFonts w:ascii="Arial" w:cs="Arial" w:eastAsia="Arial" w:hAnsi="Arial"/>
          <w:sz w:val="17"/>
          <w:szCs w:val="17"/>
          <w:color w:val="auto"/>
        </w:rPr>
        <w:t>. We believe that our location-based features and the high degree of user personalization, which focus on topics of personal interest and entertainment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offered on our platform, will allow us to make targeted offers to our users that will enhance their experience. We plan to further monetize our user traffic through referring traffic from our platform to e-commerce companies, online marketplaces and other content or service providers. For example, we plan to monetize user traffic on our </w:t>
      </w:r>
      <w:r>
        <w:rPr>
          <w:rFonts w:ascii="Arial" w:cs="Arial" w:eastAsia="Arial" w:hAnsi="Arial"/>
          <w:sz w:val="17"/>
          <w:szCs w:val="17"/>
          <w:i w:val="1"/>
          <w:iCs w:val="1"/>
          <w:color w:val="auto"/>
        </w:rPr>
        <w:t>Nearby People</w:t>
      </w:r>
      <w:r>
        <w:rPr>
          <w:rFonts w:ascii="Arial" w:cs="Arial" w:eastAsia="Arial" w:hAnsi="Arial"/>
          <w:sz w:val="17"/>
          <w:szCs w:val="17"/>
          <w:color w:val="auto"/>
        </w:rPr>
        <w:t xml:space="preserve"> function through cooperating with Alibaba to place targeted marketing of the merchants on Alibaba’s marketplaces to our users on our application, for which we would share the marketing revenues Alibaba generates from the merchants that use its marketplaces. Furthermore, we will cooperate with online marketplaces, such as 58.com, by providing our users easy access to their marketplaces through the </w:t>
      </w:r>
      <w:r>
        <w:rPr>
          <w:rFonts w:ascii="Arial" w:cs="Arial" w:eastAsia="Arial" w:hAnsi="Arial"/>
          <w:sz w:val="17"/>
          <w:szCs w:val="17"/>
          <w:i w:val="1"/>
          <w:iCs w:val="1"/>
          <w:color w:val="auto"/>
        </w:rPr>
        <w:t xml:space="preserve">Discover </w:t>
      </w:r>
      <w:r>
        <w:rPr>
          <w:rFonts w:ascii="Arial" w:cs="Arial" w:eastAsia="Arial" w:hAnsi="Arial"/>
          <w:sz w:val="17"/>
          <w:szCs w:val="17"/>
          <w:color w:val="auto"/>
        </w:rPr>
        <w:t>function on our platform, for which we will generate marketing revenues.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Pursue strategic partnerships and acquisitions</w:t>
      </w:r>
    </w:p>
    <w:p>
      <w:pPr>
        <w:spacing w:after="0" w:line="117" w:lineRule="exact"/>
        <w:rPr>
          <w:sz w:val="20"/>
          <w:szCs w:val="20"/>
          <w:color w:val="auto"/>
        </w:rPr>
      </w:pPr>
    </w:p>
    <w:p>
      <w:pPr>
        <w:ind w:right="400" w:firstLine="456"/>
        <w:spacing w:after="0" w:line="286" w:lineRule="auto"/>
        <w:rPr>
          <w:sz w:val="20"/>
          <w:szCs w:val="20"/>
          <w:color w:val="auto"/>
        </w:rPr>
      </w:pPr>
      <w:r>
        <w:rPr>
          <w:rFonts w:ascii="Arial" w:cs="Arial" w:eastAsia="Arial" w:hAnsi="Arial"/>
          <w:sz w:val="17"/>
          <w:szCs w:val="17"/>
          <w:color w:val="auto"/>
        </w:rPr>
        <w:t>We plan to continue to strengthen our relationships with platform partners through joint development arrangements, co-branding initiatives and marketing campaigns. We intend to selectively seek strategic opportunities, including investments in and acquisitions of complementary technologies, in order to expand our services in light of evolving technologies as well as changing user and customer demands.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Momo Platform</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Our Momo platform includes our Momo mobile application and a variety of related features, functionalities, tools and services that we provide to users, customers and platform partners. The Momo mobile application, which is available on Android, iOS and Windows platforms, enables users to establish and expand their social relationships based on locations and interests. Momo offers a personal and lively way for users to discover people nearby, and we facilitate the connecting, communicating, interacting, and content sharing with others. Momo features various location and interest-based features, such as </w:t>
      </w:r>
      <w:r>
        <w:rPr>
          <w:rFonts w:ascii="Arial" w:cs="Arial" w:eastAsia="Arial" w:hAnsi="Arial"/>
          <w:sz w:val="16"/>
          <w:szCs w:val="16"/>
          <w:i w:val="1"/>
          <w:iCs w:val="1"/>
          <w:color w:val="auto"/>
        </w:rPr>
        <w:t>Nearby</w:t>
      </w:r>
      <w:r>
        <w:rPr>
          <w:rFonts w:ascii="Arial" w:cs="Arial" w:eastAsia="Arial" w:hAnsi="Arial"/>
          <w:sz w:val="16"/>
          <w:szCs w:val="16"/>
          <w:color w:val="auto"/>
        </w:rPr>
        <w:t xml:space="preserve"> </w:t>
      </w:r>
      <w:r>
        <w:rPr>
          <w:rFonts w:ascii="Arial" w:cs="Arial" w:eastAsia="Arial" w:hAnsi="Arial"/>
          <w:sz w:val="16"/>
          <w:szCs w:val="16"/>
          <w:i w:val="1"/>
          <w:iCs w:val="1"/>
          <w:color w:val="auto"/>
        </w:rPr>
        <w:t>People</w:t>
      </w:r>
      <w:r>
        <w:rPr>
          <w:rFonts w:ascii="Arial" w:cs="Arial" w:eastAsia="Arial" w:hAnsi="Arial"/>
          <w:sz w:val="16"/>
          <w:szCs w:val="16"/>
          <w:color w:val="auto"/>
        </w:rPr>
        <w:t>,</w:t>
      </w:r>
      <w:r>
        <w:rPr>
          <w:rFonts w:ascii="Arial" w:cs="Arial" w:eastAsia="Arial" w:hAnsi="Arial"/>
          <w:sz w:val="16"/>
          <w:szCs w:val="16"/>
          <w:i w:val="1"/>
          <w:iCs w:val="1"/>
          <w:color w:val="auto"/>
        </w:rPr>
        <w:t xml:space="preserve"> Groups</w:t>
      </w:r>
      <w:r>
        <w:rPr>
          <w:rFonts w:ascii="Arial" w:cs="Arial" w:eastAsia="Arial" w:hAnsi="Arial"/>
          <w:sz w:val="16"/>
          <w:szCs w:val="16"/>
          <w:color w:val="auto"/>
        </w:rPr>
        <w:t>,</w:t>
      </w:r>
      <w:r>
        <w:rPr>
          <w:rFonts w:ascii="Arial" w:cs="Arial" w:eastAsia="Arial" w:hAnsi="Arial"/>
          <w:sz w:val="16"/>
          <w:szCs w:val="16"/>
          <w:i w:val="1"/>
          <w:iCs w:val="1"/>
          <w:color w:val="auto"/>
        </w:rPr>
        <w:t xml:space="preserve"> Message Board</w:t>
      </w:r>
      <w:r>
        <w:rPr>
          <w:rFonts w:ascii="Arial" w:cs="Arial" w:eastAsia="Arial" w:hAnsi="Arial"/>
          <w:sz w:val="16"/>
          <w:szCs w:val="16"/>
          <w:color w:val="auto"/>
        </w:rPr>
        <w:t>,</w:t>
      </w:r>
      <w:r>
        <w:rPr>
          <w:rFonts w:ascii="Arial" w:cs="Arial" w:eastAsia="Arial" w:hAnsi="Arial"/>
          <w:sz w:val="16"/>
          <w:szCs w:val="16"/>
          <w:i w:val="1"/>
          <w:iCs w:val="1"/>
          <w:color w:val="auto"/>
        </w:rPr>
        <w:t xml:space="preserve"> Topics </w:t>
      </w:r>
      <w:r>
        <w:rPr>
          <w:rFonts w:ascii="Arial" w:cs="Arial" w:eastAsia="Arial" w:hAnsi="Arial"/>
          <w:sz w:val="16"/>
          <w:szCs w:val="16"/>
          <w:color w:val="auto"/>
        </w:rPr>
        <w:t>and</w:t>
      </w:r>
      <w:r>
        <w:rPr>
          <w:rFonts w:ascii="Arial" w:cs="Arial" w:eastAsia="Arial" w:hAnsi="Arial"/>
          <w:sz w:val="16"/>
          <w:szCs w:val="16"/>
          <w:i w:val="1"/>
          <w:iCs w:val="1"/>
          <w:color w:val="auto"/>
        </w:rPr>
        <w:t xml:space="preserve"> Nearby Events</w:t>
      </w:r>
      <w:r>
        <w:rPr>
          <w:rFonts w:ascii="Arial" w:cs="Arial" w:eastAsia="Arial" w:hAnsi="Arial"/>
          <w:sz w:val="16"/>
          <w:szCs w:val="16"/>
          <w:color w:val="auto"/>
        </w:rPr>
        <w:t>, multi-media instant messaging tools, as well as popular mobile games. Our various functions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connected with each other. For example, our </w:t>
      </w:r>
      <w:r>
        <w:rPr>
          <w:rFonts w:ascii="Arial" w:cs="Arial" w:eastAsia="Arial" w:hAnsi="Arial"/>
          <w:sz w:val="16"/>
          <w:szCs w:val="16"/>
          <w:i w:val="1"/>
          <w:iCs w:val="1"/>
          <w:color w:val="auto"/>
        </w:rPr>
        <w:t>Nearby People</w:t>
      </w:r>
      <w:r>
        <w:rPr>
          <w:rFonts w:ascii="Arial" w:cs="Arial" w:eastAsia="Arial" w:hAnsi="Arial"/>
          <w:sz w:val="16"/>
          <w:szCs w:val="16"/>
          <w:color w:val="auto"/>
        </w:rPr>
        <w:t xml:space="preserve"> function features links to nearby </w:t>
      </w:r>
      <w:r>
        <w:rPr>
          <w:rFonts w:ascii="Arial" w:cs="Arial" w:eastAsia="Arial" w:hAnsi="Arial"/>
          <w:sz w:val="16"/>
          <w:szCs w:val="16"/>
          <w:i w:val="1"/>
          <w:iCs w:val="1"/>
          <w:color w:val="auto"/>
        </w:rPr>
        <w:t>Groups</w:t>
      </w:r>
      <w:r>
        <w:rPr>
          <w:rFonts w:ascii="Arial" w:cs="Arial" w:eastAsia="Arial" w:hAnsi="Arial"/>
          <w:sz w:val="16"/>
          <w:szCs w:val="16"/>
          <w:color w:val="auto"/>
        </w:rPr>
        <w:t xml:space="preserve"> and </w:t>
      </w:r>
      <w:r>
        <w:rPr>
          <w:rFonts w:ascii="Arial" w:cs="Arial" w:eastAsia="Arial" w:hAnsi="Arial"/>
          <w:sz w:val="16"/>
          <w:szCs w:val="16"/>
          <w:i w:val="1"/>
          <w:iCs w:val="1"/>
          <w:color w:val="auto"/>
        </w:rPr>
        <w:t>Nearby Events</w:t>
      </w:r>
      <w:r>
        <w:rPr>
          <w:rFonts w:ascii="Arial" w:cs="Arial" w:eastAsia="Arial" w:hAnsi="Arial"/>
          <w:sz w:val="16"/>
          <w:szCs w:val="16"/>
          <w:color w:val="auto"/>
        </w:rPr>
        <w:t>.</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Nearby People. </w:t>
      </w:r>
      <w:r>
        <w:rPr>
          <w:rFonts w:ascii="Arial" w:cs="Arial" w:eastAsia="Arial" w:hAnsi="Arial"/>
          <w:sz w:val="18"/>
          <w:szCs w:val="18"/>
          <w:color w:val="auto"/>
        </w:rPr>
        <w:t>This function allows users to find out the approximate distance from each other in real time and is the primary tool through which users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can establish and expand their social relationships. In September 2014, our users on average refreshed their own </w:t>
      </w:r>
      <w:r>
        <w:rPr>
          <w:rFonts w:ascii="Arial" w:cs="Arial" w:eastAsia="Arial" w:hAnsi="Arial"/>
          <w:sz w:val="18"/>
          <w:szCs w:val="18"/>
          <w:i w:val="1"/>
          <w:iCs w:val="1"/>
          <w:color w:val="auto"/>
        </w:rPr>
        <w:t>Nearby People</w:t>
      </w:r>
      <w:r>
        <w:rPr>
          <w:rFonts w:ascii="Arial" w:cs="Arial" w:eastAsia="Arial" w:hAnsi="Arial"/>
          <w:sz w:val="18"/>
          <w:szCs w:val="18"/>
          <w:color w:val="auto"/>
        </w:rPr>
        <w:t xml:space="preserve"> lists 167.0 million times every day.</w:t>
      </w:r>
    </w:p>
    <w:p>
      <w:pPr>
        <w:spacing w:after="0" w:line="18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Once our Momo mobile application is launched on a smartphone, the default page presents a curated list of nearby users with their profile pictures, precise distance from the nearby users and the time they last checked-in on Momo prominently displayed. The list of nearby people is by default ordered by proximity to the application users. All users can customize the list by viewing nearby people by gender and a specific period of time within which the nearby people last checked in. Users can initiate contact with nearby users by sending greeting messages and selecting to follow their accounts in order to receive notifications on their status updates. A user who receives a greeting message may then reply and choose to become a Momo friend of the initiator by also following such user. Users can adjust their privacy settings to avoid being seen by strangers or to appear invisible. Our application also allows users to block other users and report inappropriate behaviors. Our members may further filter the list of nearby users by age group, occupation, horoscope and whether the nearby person has linked his or her Momo account with other popular social network applications.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enhance user stickiness by providing a comprehensive suite of push notifications, which include status updates, greetings from nearby users, chat messages and location of Momo friends. Our application will also notify users when their Momo friends come within close proximity. We also keep users up-to-date on the latest postings in their groups, as well as groups that their Momo friends have joined.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167005</wp:posOffset>
            </wp:positionV>
            <wp:extent cx="4450715" cy="3319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50715"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User Profile. </w:t>
      </w:r>
      <w:r>
        <w:rPr>
          <w:rFonts w:ascii="Arial" w:cs="Arial" w:eastAsia="Arial" w:hAnsi="Arial"/>
          <w:sz w:val="16"/>
          <w:szCs w:val="16"/>
          <w:color w:val="auto"/>
        </w:rPr>
        <w:t>This function allows users to share basic personal information and interests and encourage interactions. To begin the Momo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after downloading and installing the application, each user is asked to fill out a profile featuring pictures and detailed personal information, such as name, age, horoscope, occupation, employer, school, relationship status, date of registration with Momo, groups and topics joined, interests, accounts at other social network applications, frequent places of appearance and a personal note. Members can also post a voice recording as part of their profile. The profile page also contains a link to a chronologically arranged display of status updates, blogs and pictures posted by the user, allowing the user to share his or her experience and interest. Our users viewed personal profile pages on our platform an average of 446.3 million times on a daily basis in September 2014.</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 further improve user experience, we have developed a tiering system whereby each user is assigned one of six scores based primarily on his or her behavioral patterns, profile credibility, degree of engagement, and quality of interactions with other users. Each user can monitor the score on his or her profile page. A user can generally improve his or her tiering score by demonstrating a pattern of wholesome social behavioral, a credible social profile, active engagement and high quality interactions with other users.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205740</wp:posOffset>
            </wp:positionV>
            <wp:extent cx="4193540" cy="71094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93540" cy="710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219"/>
          </w:cols>
          <w:pgMar w:left="240" w:top="459" w:right="1440"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Groups. </w:t>
      </w:r>
      <w:r>
        <w:rPr>
          <w:rFonts w:ascii="Arial" w:cs="Arial" w:eastAsia="Arial" w:hAnsi="Arial"/>
          <w:sz w:val="17"/>
          <w:szCs w:val="17"/>
          <w:color w:val="auto"/>
        </w:rPr>
        <w:t>Our application allows users to create and participate in location-based groups across POIs (residential complexes, educational institutions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buildings). Participation in location-based groups has been increasing among our users, as 44.7% of our DAUs in September 2014 have joined at least one group, up from 33.9% in September 2013. Our users viewed group profile pages on our platform an average of 49.3 million times on a daily basis in September 2014. Location-based groups are generally established around a certain topic of interest. Each group is given a shared Momo discussion page on which group members can discuss their common interests, post their photos and exchange messages. An average of 222.4 million messages in location-based groups were sent every day, representing a daily average of 208 messages sent per active group, in September 2014. A group in which users sent at least one message in the relevant period is considered an active group.</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users can create groups by first selecting a specific location around which the group is centered, which must be associated with a specific residential complex, educational institution or commercial building, and second, selecting a topic of interest for the group. For example, a user can create a group for students at Peking University who are interested in photography. We limit the size of each group to 100 users in order to foster a closer, more engaged and interactive community. The maximum size of a particular group is determined by whether the group’s creator is a member and the activity level of the group, such as the frequency of messaging among users. Our application displays nearby groups created by users as ranked by proximity. A user must apply to join a nearby group, and membership admission is determined by the creator and managers of the group. In addition to our default distance-based listing of nearby groups, users are also able to search for groups using keywords. To further enhance interaction, we also display who among the people that a user has followed are members of a particular group.</w:t>
      </w:r>
    </w:p>
    <w:p>
      <w:pPr>
        <w:spacing w:after="0" w:line="17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Users can propose and organize offline events for the location-based groups. A separate page will be created for an event containing information about the activity such as type, venue and time, based on which group members can decide whether to join the event and confirm attendance. A list of confirmed attendees will be shown on the activity page as well.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To enhance the synergies between our social functions and mobile games offered on our platform, we have established groups for our mobile games players called </w:t>
      </w:r>
      <w:r>
        <w:rPr>
          <w:rFonts w:ascii="Arial" w:cs="Arial" w:eastAsia="Arial" w:hAnsi="Arial"/>
          <w:sz w:val="17"/>
          <w:szCs w:val="17"/>
          <w:i w:val="1"/>
          <w:iCs w:val="1"/>
          <w:color w:val="auto"/>
        </w:rPr>
        <w:t>Player Unions</w:t>
      </w:r>
      <w:r>
        <w:rPr>
          <w:rFonts w:ascii="Arial" w:cs="Arial" w:eastAsia="Arial" w:hAnsi="Arial"/>
          <w:sz w:val="17"/>
          <w:szCs w:val="17"/>
          <w:color w:val="auto"/>
        </w:rPr>
        <w:t xml:space="preserve">. Our </w:t>
      </w:r>
      <w:r>
        <w:rPr>
          <w:rFonts w:ascii="Arial" w:cs="Arial" w:eastAsia="Arial" w:hAnsi="Arial"/>
          <w:sz w:val="17"/>
          <w:szCs w:val="17"/>
          <w:i w:val="1"/>
          <w:iCs w:val="1"/>
          <w:color w:val="auto"/>
        </w:rPr>
        <w:t>Player Unions</w:t>
      </w:r>
      <w:r>
        <w:rPr>
          <w:rFonts w:ascii="Arial" w:cs="Arial" w:eastAsia="Arial" w:hAnsi="Arial"/>
          <w:sz w:val="17"/>
          <w:szCs w:val="17"/>
          <w:color w:val="auto"/>
        </w:rPr>
        <w:t xml:space="preserve"> provide users with increased opportunities to interact and foster closer social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119380</wp:posOffset>
            </wp:positionV>
            <wp:extent cx="4262120" cy="3207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6212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Topics. </w:t>
      </w:r>
      <w:r>
        <w:rPr>
          <w:rFonts w:ascii="Arial" w:cs="Arial" w:eastAsia="Arial" w:hAnsi="Arial"/>
          <w:sz w:val="18"/>
          <w:szCs w:val="18"/>
          <w:color w:val="auto"/>
        </w:rPr>
        <w:t>Our</w:t>
      </w:r>
      <w:r>
        <w:rPr>
          <w:rFonts w:ascii="Arial" w:cs="Arial" w:eastAsia="Arial" w:hAnsi="Arial"/>
          <w:sz w:val="18"/>
          <w:szCs w:val="18"/>
          <w:i w:val="1"/>
          <w:iCs w:val="1"/>
          <w:color w:val="auto"/>
        </w:rPr>
        <w:t xml:space="preserve"> Topics </w:t>
      </w:r>
      <w:r>
        <w:rPr>
          <w:rFonts w:ascii="Arial" w:cs="Arial" w:eastAsia="Arial" w:hAnsi="Arial"/>
          <w:sz w:val="18"/>
          <w:szCs w:val="18"/>
          <w:color w:val="auto"/>
        </w:rPr>
        <w:t>is another feature aimed at enabling users to discover other users with common interests. Our</w:t>
      </w:r>
      <w:r>
        <w:rPr>
          <w:rFonts w:ascii="Arial" w:cs="Arial" w:eastAsia="Arial" w:hAnsi="Arial"/>
          <w:sz w:val="18"/>
          <w:szCs w:val="18"/>
          <w:i w:val="1"/>
          <w:iCs w:val="1"/>
          <w:color w:val="auto"/>
        </w:rPr>
        <w:t xml:space="preserve"> Topics </w:t>
      </w:r>
      <w:r>
        <w:rPr>
          <w:rFonts w:ascii="Arial" w:cs="Arial" w:eastAsia="Arial" w:hAnsi="Arial"/>
          <w:sz w:val="18"/>
          <w:szCs w:val="18"/>
          <w:color w:val="auto"/>
        </w:rPr>
        <w:t>present popular themes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to all users. Users who have joined a certain </w:t>
      </w:r>
      <w:r>
        <w:rPr>
          <w:rFonts w:ascii="Arial" w:cs="Arial" w:eastAsia="Arial" w:hAnsi="Arial"/>
          <w:sz w:val="18"/>
          <w:szCs w:val="18"/>
          <w:i w:val="1"/>
          <w:iCs w:val="1"/>
          <w:color w:val="auto"/>
        </w:rPr>
        <w:t>Topic</w:t>
      </w:r>
      <w:r>
        <w:rPr>
          <w:rFonts w:ascii="Arial" w:cs="Arial" w:eastAsia="Arial" w:hAnsi="Arial"/>
          <w:sz w:val="18"/>
          <w:szCs w:val="18"/>
          <w:color w:val="auto"/>
        </w:rPr>
        <w:t xml:space="preserve">, such as </w:t>
      </w:r>
      <w:r>
        <w:rPr>
          <w:rFonts w:ascii="Arial" w:cs="Arial" w:eastAsia="Arial" w:hAnsi="Arial"/>
          <w:sz w:val="18"/>
          <w:szCs w:val="18"/>
          <w:i w:val="1"/>
          <w:iCs w:val="1"/>
          <w:color w:val="auto"/>
        </w:rPr>
        <w:t>Fitness</w:t>
      </w:r>
      <w:r>
        <w:rPr>
          <w:rFonts w:ascii="Arial" w:cs="Arial" w:eastAsia="Arial" w:hAnsi="Arial"/>
          <w:sz w:val="18"/>
          <w:szCs w:val="18"/>
          <w:color w:val="auto"/>
        </w:rPr>
        <w:t xml:space="preserve"> or </w:t>
      </w:r>
      <w:r>
        <w:rPr>
          <w:rFonts w:ascii="Arial" w:cs="Arial" w:eastAsia="Arial" w:hAnsi="Arial"/>
          <w:sz w:val="18"/>
          <w:szCs w:val="18"/>
          <w:i w:val="1"/>
          <w:iCs w:val="1"/>
          <w:color w:val="auto"/>
        </w:rPr>
        <w:t>Pets</w:t>
      </w:r>
      <w:r>
        <w:rPr>
          <w:rFonts w:ascii="Arial" w:cs="Arial" w:eastAsia="Arial" w:hAnsi="Arial"/>
          <w:sz w:val="18"/>
          <w:szCs w:val="18"/>
          <w:color w:val="auto"/>
        </w:rPr>
        <w:t xml:space="preserve">, can post threads and interact with other users by replying to the threads. Users can view other users who have joined the same </w:t>
      </w:r>
      <w:r>
        <w:rPr>
          <w:rFonts w:ascii="Arial" w:cs="Arial" w:eastAsia="Arial" w:hAnsi="Arial"/>
          <w:sz w:val="18"/>
          <w:szCs w:val="18"/>
          <w:i w:val="1"/>
          <w:iCs w:val="1"/>
          <w:color w:val="auto"/>
        </w:rPr>
        <w:t>Topic</w:t>
      </w:r>
      <w:r>
        <w:rPr>
          <w:rFonts w:ascii="Arial" w:cs="Arial" w:eastAsia="Arial" w:hAnsi="Arial"/>
          <w:sz w:val="18"/>
          <w:szCs w:val="18"/>
          <w:color w:val="auto"/>
        </w:rPr>
        <w:t xml:space="preserve">, in the order of proximity. We also recommend popular </w:t>
      </w:r>
      <w:r>
        <w:rPr>
          <w:rFonts w:ascii="Arial" w:cs="Arial" w:eastAsia="Arial" w:hAnsi="Arial"/>
          <w:sz w:val="18"/>
          <w:szCs w:val="18"/>
          <w:i w:val="1"/>
          <w:iCs w:val="1"/>
          <w:color w:val="auto"/>
        </w:rPr>
        <w:t>Topics</w:t>
      </w:r>
      <w:r>
        <w:rPr>
          <w:rFonts w:ascii="Arial" w:cs="Arial" w:eastAsia="Arial" w:hAnsi="Arial"/>
          <w:sz w:val="18"/>
          <w:szCs w:val="18"/>
          <w:color w:val="auto"/>
        </w:rPr>
        <w:t xml:space="preserve"> and threads to users based on their profiles. Users can also search for </w:t>
      </w:r>
      <w:r>
        <w:rPr>
          <w:rFonts w:ascii="Arial" w:cs="Arial" w:eastAsia="Arial" w:hAnsi="Arial"/>
          <w:sz w:val="18"/>
          <w:szCs w:val="18"/>
          <w:i w:val="1"/>
          <w:iCs w:val="1"/>
          <w:color w:val="auto"/>
        </w:rPr>
        <w:t>Topics</w:t>
      </w:r>
      <w:r>
        <w:rPr>
          <w:rFonts w:ascii="Arial" w:cs="Arial" w:eastAsia="Arial" w:hAnsi="Arial"/>
          <w:sz w:val="18"/>
          <w:szCs w:val="18"/>
          <w:color w:val="auto"/>
        </w:rPr>
        <w:t xml:space="preserve"> that most interest them.</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Topics </w:t>
      </w:r>
      <w:r>
        <w:rPr>
          <w:rFonts w:ascii="Arial" w:cs="Arial" w:eastAsia="Arial" w:hAnsi="Arial"/>
          <w:sz w:val="18"/>
          <w:szCs w:val="18"/>
          <w:color w:val="auto"/>
        </w:rPr>
        <w:t>are created by us based on user feedback. Daily management of a</w:t>
      </w:r>
      <w:r>
        <w:rPr>
          <w:rFonts w:ascii="Arial" w:cs="Arial" w:eastAsia="Arial" w:hAnsi="Arial"/>
          <w:sz w:val="18"/>
          <w:szCs w:val="18"/>
          <w:i w:val="1"/>
          <w:iCs w:val="1"/>
          <w:color w:val="auto"/>
        </w:rPr>
        <w:t xml:space="preserve"> Topic </w:t>
      </w:r>
      <w:r>
        <w:rPr>
          <w:rFonts w:ascii="Arial" w:cs="Arial" w:eastAsia="Arial" w:hAnsi="Arial"/>
          <w:sz w:val="18"/>
          <w:szCs w:val="18"/>
          <w:color w:val="auto"/>
        </w:rPr>
        <w:t>is delegated to the</w:t>
      </w:r>
      <w:r>
        <w:rPr>
          <w:rFonts w:ascii="Arial" w:cs="Arial" w:eastAsia="Arial" w:hAnsi="Arial"/>
          <w:sz w:val="18"/>
          <w:szCs w:val="18"/>
          <w:i w:val="1"/>
          <w:iCs w:val="1"/>
          <w:color w:val="auto"/>
        </w:rPr>
        <w:t xml:space="preserve"> Topics </w:t>
      </w:r>
      <w:r>
        <w:rPr>
          <w:rFonts w:ascii="Arial" w:cs="Arial" w:eastAsia="Arial" w:hAnsi="Arial"/>
          <w:sz w:val="18"/>
          <w:szCs w:val="18"/>
          <w:color w:val="auto"/>
        </w:rPr>
        <w:t>host, who is responsible for selecting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postings, and monitoring posted content for inappropriate, off-topic or unlawful materials. In September 2014, a daily average of 2.7 million new comments were added to our </w:t>
      </w:r>
      <w:r>
        <w:rPr>
          <w:rFonts w:ascii="Arial" w:cs="Arial" w:eastAsia="Arial" w:hAnsi="Arial"/>
          <w:sz w:val="18"/>
          <w:szCs w:val="18"/>
          <w:i w:val="1"/>
          <w:iCs w:val="1"/>
          <w:color w:val="auto"/>
        </w:rPr>
        <w:t>Topics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193040</wp:posOffset>
            </wp:positionV>
            <wp:extent cx="3987800" cy="30956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87800"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80"/>
          </w:cols>
          <w:pgMar w:left="240" w:top="459" w:right="3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Message Board. </w:t>
      </w:r>
      <w:r>
        <w:rPr>
          <w:rFonts w:ascii="Arial" w:cs="Arial" w:eastAsia="Arial" w:hAnsi="Arial"/>
          <w:sz w:val="16"/>
          <w:szCs w:val="16"/>
          <w:color w:val="auto"/>
        </w:rPr>
        <w:t>An important entry point for users to interact with all other users nearby is our</w:t>
      </w:r>
      <w:r>
        <w:rPr>
          <w:rFonts w:ascii="Arial" w:cs="Arial" w:eastAsia="Arial" w:hAnsi="Arial"/>
          <w:sz w:val="16"/>
          <w:szCs w:val="16"/>
          <w:i w:val="1"/>
          <w:iCs w:val="1"/>
          <w:color w:val="auto"/>
        </w:rPr>
        <w:t xml:space="preserve"> Message Board </w:t>
      </w:r>
      <w:r>
        <w:rPr>
          <w:rFonts w:ascii="Arial" w:cs="Arial" w:eastAsia="Arial" w:hAnsi="Arial"/>
          <w:sz w:val="16"/>
          <w:szCs w:val="16"/>
          <w:color w:val="auto"/>
        </w:rPr>
        <w:t>function. Our</w:t>
      </w:r>
      <w:r>
        <w:rPr>
          <w:rFonts w:ascii="Arial" w:cs="Arial" w:eastAsia="Arial" w:hAnsi="Arial"/>
          <w:sz w:val="16"/>
          <w:szCs w:val="16"/>
          <w:i w:val="1"/>
          <w:iCs w:val="1"/>
          <w:color w:val="auto"/>
        </w:rPr>
        <w:t xml:space="preserve"> Message Board </w:t>
      </w:r>
      <w:r>
        <w:rPr>
          <w:rFonts w:ascii="Arial" w:cs="Arial" w:eastAsia="Arial" w:hAnsi="Arial"/>
          <w:sz w:val="16"/>
          <w:szCs w:val="16"/>
          <w:color w:val="auto"/>
        </w:rPr>
        <w:t>contains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status updates, micro-blogs and photos posted by nearby users, facilitating connections between people in the same neighborhoods and among Momo friends. Users can comment on the postings made by others, which are arranged by proximity. Our users posted a daily average of 16.4 million messages and comments on our </w:t>
      </w:r>
      <w:r>
        <w:rPr>
          <w:rFonts w:ascii="Arial" w:cs="Arial" w:eastAsia="Arial" w:hAnsi="Arial"/>
          <w:sz w:val="16"/>
          <w:szCs w:val="16"/>
          <w:i w:val="1"/>
          <w:iCs w:val="1"/>
          <w:color w:val="auto"/>
        </w:rPr>
        <w:t>Message Board</w:t>
      </w:r>
      <w:r>
        <w:rPr>
          <w:rFonts w:ascii="Arial" w:cs="Arial" w:eastAsia="Arial" w:hAnsi="Arial"/>
          <w:sz w:val="16"/>
          <w:szCs w:val="16"/>
          <w:color w:val="auto"/>
        </w:rPr>
        <w:t xml:space="preserve"> in September 2014. On average, 71.0% of our DAUs viewed our </w:t>
      </w:r>
      <w:r>
        <w:rPr>
          <w:rFonts w:ascii="Arial" w:cs="Arial" w:eastAsia="Arial" w:hAnsi="Arial"/>
          <w:sz w:val="16"/>
          <w:szCs w:val="16"/>
          <w:i w:val="1"/>
          <w:iCs w:val="1"/>
          <w:color w:val="auto"/>
        </w:rPr>
        <w:t>Message Board</w:t>
      </w:r>
      <w:r>
        <w:rPr>
          <w:rFonts w:ascii="Arial" w:cs="Arial" w:eastAsia="Arial" w:hAnsi="Arial"/>
          <w:sz w:val="16"/>
          <w:szCs w:val="16"/>
          <w:color w:val="auto"/>
        </w:rPr>
        <w:t xml:space="preserve"> in September 2014. Our </w:t>
      </w:r>
      <w:r>
        <w:rPr>
          <w:rFonts w:ascii="Arial" w:cs="Arial" w:eastAsia="Arial" w:hAnsi="Arial"/>
          <w:sz w:val="16"/>
          <w:szCs w:val="16"/>
          <w:i w:val="1"/>
          <w:iCs w:val="1"/>
          <w:color w:val="auto"/>
        </w:rPr>
        <w:t>Message Board</w:t>
      </w:r>
      <w:r>
        <w:rPr>
          <w:rFonts w:ascii="Arial" w:cs="Arial" w:eastAsia="Arial" w:hAnsi="Arial"/>
          <w:sz w:val="16"/>
          <w:szCs w:val="16"/>
          <w:color w:val="auto"/>
        </w:rPr>
        <w:t xml:space="preserve"> function has proven to be an effective means of stimulating interaction and creating social relationships among our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126365</wp:posOffset>
            </wp:positionV>
            <wp:extent cx="3653155" cy="3310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5315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Nearby Events. </w:t>
      </w:r>
      <w:r>
        <w:rPr>
          <w:rFonts w:ascii="Arial" w:cs="Arial" w:eastAsia="Arial" w:hAnsi="Arial"/>
          <w:sz w:val="18"/>
          <w:szCs w:val="18"/>
          <w:color w:val="auto"/>
        </w:rPr>
        <w:t>To facilitate offline interaction between our users and to promote our brand, we publicize events taking place in various Chinese cities</w:t>
      </w:r>
      <w:r>
        <w:rPr>
          <w:rFonts w:ascii="Arial" w:cs="Arial" w:eastAsia="Arial" w:hAnsi="Arial"/>
          <w:sz w:val="18"/>
          <w:szCs w:val="18"/>
          <w:i w:val="1"/>
          <w:iCs w:val="1"/>
          <w:color w:val="auto"/>
        </w:rPr>
        <w:t xml:space="preserve"> </w:t>
      </w:r>
      <w:r>
        <w:rPr>
          <w:rFonts w:ascii="Arial" w:cs="Arial" w:eastAsia="Arial" w:hAnsi="Arial"/>
          <w:sz w:val="18"/>
          <w:szCs w:val="18"/>
          <w:color w:val="auto"/>
        </w:rPr>
        <w:t>close to our users, such as concerts, seminars, sport events, plays and exhibitions.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We cooperate with leading event promoters and ticketing platforms in China to upload information about popular events onto Momo. Moreover, event hosts can open a Momo account and promote their events on our platform by submitting a description of the event to us. Once we approve an event submission, it will appear on our </w:t>
      </w:r>
      <w:r>
        <w:rPr>
          <w:rFonts w:ascii="Arial" w:cs="Arial" w:eastAsia="Arial" w:hAnsi="Arial"/>
          <w:sz w:val="18"/>
          <w:szCs w:val="18"/>
          <w:i w:val="1"/>
          <w:iCs w:val="1"/>
          <w:color w:val="auto"/>
        </w:rPr>
        <w:t>Nearby Events</w:t>
      </w:r>
      <w:r>
        <w:rPr>
          <w:rFonts w:ascii="Arial" w:cs="Arial" w:eastAsia="Arial" w:hAnsi="Arial"/>
          <w:sz w:val="18"/>
          <w:szCs w:val="18"/>
          <w:color w:val="auto"/>
        </w:rPr>
        <w:t xml:space="preserve"> page. For highly popular events, our sales team will actively seek to partner with the hosts in order to promote our brand and potentially explore monetization opportunities. For example, we have partnered with the </w:t>
      </w:r>
      <w:r>
        <w:rPr>
          <w:rFonts w:ascii="Arial" w:cs="Arial" w:eastAsia="Arial" w:hAnsi="Arial"/>
          <w:sz w:val="18"/>
          <w:szCs w:val="18"/>
          <w:i w:val="1"/>
          <w:iCs w:val="1"/>
          <w:color w:val="auto"/>
        </w:rPr>
        <w:t>Strawberry Music Festival</w:t>
      </w:r>
      <w:r>
        <w:rPr>
          <w:rFonts w:ascii="Arial" w:cs="Arial" w:eastAsia="Arial" w:hAnsi="Arial"/>
          <w:sz w:val="18"/>
          <w:szCs w:val="18"/>
          <w:color w:val="auto"/>
        </w:rPr>
        <w:t>, a rock ’n’ roll phenomenon among China’s youth since 2013.</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users can search and filter events by date, type, distance, popularity and number of attendees. Our users can sign up for the events and view other people who have expressed interest in attending, to whom they may send invitations to attend the event together. After a user has signed up for an event, it is added to his/her Momo event calendar in our application. We have publicized a total of 49 thousand offline events, and our users had signed up for such offline events for over 11 million times as of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144780</wp:posOffset>
            </wp:positionV>
            <wp:extent cx="4296410" cy="3370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96410"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Location Roaming</w:t>
      </w:r>
      <w:r>
        <w:rPr>
          <w:rFonts w:ascii="Arial" w:cs="Arial" w:eastAsia="Arial" w:hAnsi="Arial"/>
          <w:sz w:val="18"/>
          <w:szCs w:val="18"/>
          <w:color w:val="auto"/>
        </w:rPr>
        <w:t>. To enrich our service features and make our platform more fun for our users, we introduced the location roaming function,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which users can view other Momo users in a randomly selected city around the world. For our members, our roaming function further allows them to actively select any location around the world and view a curated list of Momo users according to selected criteria. This function also allows travelers to get to know friends in a particular destination in advance.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Instant Messaging. </w:t>
      </w:r>
      <w:r>
        <w:rPr>
          <w:rFonts w:ascii="Arial" w:cs="Arial" w:eastAsia="Arial" w:hAnsi="Arial"/>
          <w:sz w:val="17"/>
          <w:szCs w:val="17"/>
          <w:color w:val="auto"/>
        </w:rPr>
        <w:t>Our application also provides instant messaging function, with which users can send text, emoticons, voice recordings, pictures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video messages to other users. Many of our fun and trendy emoticons are inspired by characters in popular culture. One of the key features of our instant messaging function is that the dialogue window presents the distance between the two parties in real time. Senders can see whether their messages have been delivered to or read by the recipient. Our instant messaging feature also allows users to turn voice messages into text, share their location information and engage in multi-person group chats. Users can sync their chat histories with multiple devices. We have also embedded third-party applications in order to facilitate more interaction between our users. Our users sent a daily average of 655.2 million one-to-one messages, representing a daily average of 26 one-to-one messages per DAU, in September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139065</wp:posOffset>
            </wp:positionV>
            <wp:extent cx="3961765" cy="30016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96176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Mobile Games</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application offers games developed by third-party developers and customized for our platform and user profile. Games on our platform are designed with a variety of themes, cultural characteristics and features to appeal to different segments of the game player community. The games on our platform have rich social features and are developed to be enjoyed, shared and played among Momo friends. Our users typically log into and play our games</w:t>
      </w:r>
    </w:p>
    <w:p>
      <w:pPr>
        <w:jc w:val="both"/>
        <w:ind w:right="260"/>
        <w:spacing w:after="0" w:line="277" w:lineRule="auto"/>
        <w:rPr>
          <w:sz w:val="20"/>
          <w:szCs w:val="20"/>
          <w:color w:val="auto"/>
        </w:rPr>
      </w:pPr>
      <w:r>
        <w:rPr>
          <w:rFonts w:ascii="Arial" w:cs="Arial" w:eastAsia="Arial" w:hAnsi="Arial"/>
          <w:sz w:val="17"/>
          <w:szCs w:val="17"/>
          <w:color w:val="auto"/>
        </w:rPr>
        <w:t xml:space="preserve">with their Momo accounts. For example, in our popular mobile game </w:t>
      </w:r>
      <w:r>
        <w:rPr>
          <w:rFonts w:ascii="Arial" w:cs="Arial" w:eastAsia="Arial" w:hAnsi="Arial"/>
          <w:sz w:val="17"/>
          <w:szCs w:val="17"/>
          <w:i w:val="1"/>
          <w:iCs w:val="1"/>
          <w:color w:val="auto"/>
        </w:rPr>
        <w:t>Momo Craft</w:t>
      </w:r>
      <w:r>
        <w:rPr>
          <w:rFonts w:ascii="Arial" w:cs="Arial" w:eastAsia="Arial" w:hAnsi="Arial"/>
          <w:sz w:val="17"/>
          <w:szCs w:val="17"/>
          <w:color w:val="auto"/>
        </w:rPr>
        <w:t xml:space="preserve"> ( </w:t>
      </w:r>
      <w:r>
        <w:rPr>
          <w:sz w:val="1"/>
          <w:szCs w:val="1"/>
          <w:color w:val="auto"/>
        </w:rPr>
        <w:drawing>
          <wp:inline distT="0" distB="0" distL="0" distR="0">
            <wp:extent cx="394335" cy="9461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4335" cy="94615"/>
                    </a:xfrm>
                    <a:prstGeom prst="rect">
                      <a:avLst/>
                    </a:prstGeom>
                    <a:noFill/>
                    <a:ln>
                      <a:noFill/>
                    </a:ln>
                  </pic:spPr>
                </pic:pic>
              </a:graphicData>
            </a:graphic>
          </wp:inline>
        </w:drawing>
      </w:r>
      <w:r>
        <w:rPr>
          <w:rFonts w:ascii="Arial" w:cs="Arial" w:eastAsia="Arial" w:hAnsi="Arial"/>
          <w:sz w:val="17"/>
          <w:szCs w:val="17"/>
          <w:color w:val="auto"/>
        </w:rPr>
        <w:t xml:space="preserve"> ), players compete with other Momo users for domination of castles in a fictitious kingdom. Such social features contribute to the high player stickiness of mobile games offered on our platform. As of September 30, 2014, games on our platform had been activated a total of 22.5 million times, with a total number of 16.1 million players.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Monetization Opportunities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started monetization in July 2013. We currently generate revenues primarily from membership subscription fees, mobile games and other services. Because we started to monetize from the third quarter of 2013 only, we cannot confirm or otherwise describe the seasonality of our business as a result of this very short history of monetization.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Membership Subscription</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We provide enhanced membership privileges to users who subscribe to our membership package by paying membership fees. Enhanced privileges include VIP logos, advanced search options, discounts in our emoticon store, higher limits on the maximum number of users group and the number of users that the member can follow, the ability to add a 60 second voice recording to the profile page, to search for Momo users anywhere in the world using our location roaming services, to see a list of recent visitors to their profile page and to appear invisible to specific users. We offer four membership subscription packages to our users, priced at RMB12 (US$2) per month, RMB30 (US$5) per three months, RMB60 (US$10) per six months and RMB108 (US$18) per year, respectively. We offer diverse payment options for users to pay membership subscription fees, including third-party online channels, such as </w:t>
      </w:r>
      <w:r>
        <w:rPr>
          <w:rFonts w:ascii="Arial" w:cs="Arial" w:eastAsia="Arial" w:hAnsi="Arial"/>
          <w:sz w:val="17"/>
          <w:szCs w:val="17"/>
          <w:i w:val="1"/>
          <w:iCs w:val="1"/>
          <w:color w:val="auto"/>
        </w:rPr>
        <w:t>Apple App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Store </w:t>
      </w:r>
      <w:r>
        <w:rPr>
          <w:rFonts w:ascii="Arial" w:cs="Arial" w:eastAsia="Arial" w:hAnsi="Arial"/>
          <w:sz w:val="17"/>
          <w:szCs w:val="17"/>
          <w:color w:val="auto"/>
        </w:rPr>
        <w:t>and</w:t>
      </w:r>
      <w:r>
        <w:rPr>
          <w:rFonts w:ascii="Arial" w:cs="Arial" w:eastAsia="Arial" w:hAnsi="Arial"/>
          <w:sz w:val="17"/>
          <w:szCs w:val="17"/>
          <w:i w:val="1"/>
          <w:iCs w:val="1"/>
          <w:color w:val="auto"/>
        </w:rPr>
        <w:t xml:space="preserve"> Alipay</w:t>
      </w:r>
      <w:r>
        <w:rPr>
          <w:rFonts w:ascii="Arial" w:cs="Arial" w:eastAsia="Arial" w:hAnsi="Arial"/>
          <w:sz w:val="17"/>
          <w:szCs w:val="17"/>
          <w:color w:val="auto"/>
        </w:rPr>
        <w:t>, as well as through mobile phone payment channels, including prepaid cell-phone recharge cards. We had 2.3 million members as of</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2014. We intend to continue exploring different ways to expand our members-only offerings so as to better serve our members and attract a larger membership base.</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Mobile Games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a social networking platform, we intend to offer games that have strong features which we believe will not only increase the interactions between users and communication within groups, but also broaden our revenue sources. Such games may be developed by third parties, where we share revenues generated by in-game purchases of virtual items with such developers, or developed in-house.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Services</w:t>
      </w:r>
    </w:p>
    <w:p>
      <w:pPr>
        <w:spacing w:after="0" w:line="11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other services include paid emoticons and mobile marketing services. Our virtual store currently features free and paid stylish and trendy emoticons designed in-house and by third-parties, many of which are inspired by characters in popular culture. We also design customized emoticons for nearby activities that are being promoted on our platform, for our mobile marketing service customers, as well as emoticons for users living in specific geographical areas.</w:t>
      </w:r>
    </w:p>
    <w:p>
      <w:pPr>
        <w:spacing w:after="0" w:line="18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We seek to provide mobile marketing solutions to enable our customers and platform partners to promote their brands and conduct effective marketing activities on our platform. Our mobile marketing services currently include banner ads placement for businesses and </w:t>
      </w:r>
      <w:r>
        <w:rPr>
          <w:rFonts w:ascii="Arial" w:cs="Arial" w:eastAsia="Arial" w:hAnsi="Arial"/>
          <w:sz w:val="17"/>
          <w:szCs w:val="17"/>
          <w:i w:val="1"/>
          <w:iCs w:val="1"/>
          <w:color w:val="auto"/>
        </w:rPr>
        <w:t>Dao Dian Tong</w:t>
      </w:r>
      <w:r>
        <w:rPr>
          <w:rFonts w:ascii="Arial" w:cs="Arial" w:eastAsia="Arial" w:hAnsi="Arial"/>
          <w:sz w:val="17"/>
          <w:szCs w:val="17"/>
          <w:color w:val="auto"/>
        </w:rPr>
        <w:t xml:space="preserve"> for local merchants. In August 2014, we launched </w:t>
      </w:r>
      <w:r>
        <w:rPr>
          <w:rFonts w:ascii="Arial" w:cs="Arial" w:eastAsia="Arial" w:hAnsi="Arial"/>
          <w:sz w:val="17"/>
          <w:szCs w:val="17"/>
          <w:i w:val="1"/>
          <w:iCs w:val="1"/>
          <w:color w:val="auto"/>
        </w:rPr>
        <w:t>Dao Dian Tong</w:t>
      </w:r>
      <w:r>
        <w:rPr>
          <w:rFonts w:ascii="Arial" w:cs="Arial" w:eastAsia="Arial" w:hAnsi="Arial"/>
          <w:sz w:val="17"/>
          <w:szCs w:val="17"/>
          <w:color w:val="auto"/>
        </w:rPr>
        <w:t xml:space="preserve">, our marketing solution for local merchants. Through </w:t>
      </w:r>
      <w:r>
        <w:rPr>
          <w:rFonts w:ascii="Arial" w:cs="Arial" w:eastAsia="Arial" w:hAnsi="Arial"/>
          <w:sz w:val="17"/>
          <w:szCs w:val="17"/>
          <w:i w:val="1"/>
          <w:iCs w:val="1"/>
          <w:color w:val="auto"/>
        </w:rPr>
        <w:t>Dao Dian Tong</w:t>
      </w:r>
      <w:r>
        <w:rPr>
          <w:rFonts w:ascii="Arial" w:cs="Arial" w:eastAsia="Arial" w:hAnsi="Arial"/>
          <w:sz w:val="17"/>
          <w:szCs w:val="17"/>
          <w:color w:val="auto"/>
        </w:rPr>
        <w:t xml:space="preserve">, we allow local merchants to set up business profile pages, including business descriptions and illustrative pictures, on our mobile application. Our dedicated staff verify the authenticity of each local merchant, and certify to our users that each business profile page is genuine. Our users are able to communicate with local merchants using our instant messaging function and archive local businesses that they like. As of September 30, 2014, we have received over 110 thousand applications from local merchants intending to set up business profile pages through </w:t>
      </w:r>
      <w:r>
        <w:rPr>
          <w:rFonts w:ascii="Arial" w:cs="Arial" w:eastAsia="Arial" w:hAnsi="Arial"/>
          <w:sz w:val="17"/>
          <w:szCs w:val="17"/>
          <w:i w:val="1"/>
          <w:iCs w:val="1"/>
          <w:color w:val="auto"/>
        </w:rPr>
        <w:t>Dao Dian Tong</w:t>
      </w:r>
      <w:r>
        <w:rPr>
          <w:rFonts w:ascii="Arial" w:cs="Arial" w:eastAsia="Arial" w:hAnsi="Arial"/>
          <w:sz w:val="17"/>
          <w:szCs w:val="17"/>
          <w:color w:val="auto"/>
        </w:rPr>
        <w:t xml:space="preserve">. We charge local merchants for our </w:t>
      </w:r>
      <w:r>
        <w:rPr>
          <w:rFonts w:ascii="Arial" w:cs="Arial" w:eastAsia="Arial" w:hAnsi="Arial"/>
          <w:sz w:val="17"/>
          <w:szCs w:val="17"/>
          <w:i w:val="1"/>
          <w:iCs w:val="1"/>
          <w:color w:val="auto"/>
        </w:rPr>
        <w:t>Dao Dian Tong</w:t>
      </w:r>
      <w:r>
        <w:rPr>
          <w:rFonts w:ascii="Arial" w:cs="Arial" w:eastAsia="Arial" w:hAnsi="Arial"/>
          <w:sz w:val="17"/>
          <w:szCs w:val="17"/>
          <w:color w:val="auto"/>
        </w:rPr>
        <w:t xml:space="preserve"> marketing solution based on the number of users that can access their business profile pages. Leveraging our rich user data, our services allow customers to market precisely to their targeted audience. Customers have the ability to improve the relevance of their marketing based on users’ social interest graphs, a collection of data that we create for each user that draws upon a variety of factors, including demographics, social relationships and interests. We believe that our location-based features and the high degree of user personalization, which focus on topics of personal interest and entertainment offered on our platform, will allow us to make targeted offers to our users that will enhance their experience. We plan to further monetize our user traffic through referring traffic from our platform to e-commerce companies, online marketplaces and other content or service providers. For example, we plan to monetize user traffic on our </w:t>
      </w:r>
      <w:r>
        <w:rPr>
          <w:rFonts w:ascii="Arial" w:cs="Arial" w:eastAsia="Arial" w:hAnsi="Arial"/>
          <w:sz w:val="17"/>
          <w:szCs w:val="17"/>
          <w:i w:val="1"/>
          <w:iCs w:val="1"/>
          <w:color w:val="auto"/>
        </w:rPr>
        <w:t>Nearby People</w:t>
      </w:r>
      <w:r>
        <w:rPr>
          <w:rFonts w:ascii="Arial" w:cs="Arial" w:eastAsia="Arial" w:hAnsi="Arial"/>
          <w:sz w:val="17"/>
          <w:szCs w:val="17"/>
          <w:color w:val="auto"/>
        </w:rPr>
        <w:t xml:space="preserve"> function through cooperating with Alibaba to place targeted advertisements of the merchants on Alibaba’s marketplaces to our users on our application, for which we would share the marketing revenues Alibaba generates from the merchants that use its marketplaces. Furthermore, we will cooperate with online marketplaces, such as 58.com, by providing our users easy access to their marketplaces through the Discover function on our platform, for which we will generate marketing revenues.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proprietary networking protocols ensure fast, reliable and stable mobile communications under different network environments in China. Our architecture focus on providing consistent user experience across different mobile devices, operating systems and network environments, which is particularly necessary in China given the wide variety of choices of mobile devices, operating systems and mobile networks.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Social Interest Graph Recommendation Engine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developed a comprehensive database of user social interests from the activities on our platform. We create a social interest profile for each user account based on user actions, such as group and topics memberships, social relationships, as well as demographic data such as age, gender and location. Based on these social interest profiles, our recommendation engine allows us to push content to Momo users who are more likely to find such content interesting and relevant. We believe that social context can improve the relevance of advertisements and make them a more integral part of the user experience, rather than an interruption of it. Therefore, we are continually refining our recommendation engine to improve the relevance of information we push to users.</w:t>
      </w:r>
    </w:p>
    <w:p>
      <w:pPr>
        <w:spacing w:after="0" w:line="19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Leveraging on our social interest graph recommendation engine and our analysis of user behavior data, we have developed a tiering system whereby each user is assigned one of six scores based on his or her behavioral patterns. Each user can monitor his or her tiering system score on our application. Using such a tiering system, we aim to enable users to connect with each other and maintain relationships based on their mutual social preferences and needs, thereby increasing the likelihood of establishing a new relationship and strengthening existing relationships. We use our tiering system to foster a healthy ecosystem and to deter harassment and other undesirable behaviors on our platform.</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Scalable Distributed Storage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proprietary model optimizes and facilitates cost-effective data storage by building memory on solid state drives. This distributed storage model allows us to efficiently and securely manage a large amount of data while storing data on servers that are easily scalable.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Service Oriented Architecture</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Our platform adopts service-oriented architecture that allows efficient software development and frequent upgrading of our services. Our platform is built on technologies that can facilitate cost-effective learning and joint research and development across different coding languages.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Precision in Locating Users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Location is a key attribute of our social networking platform. Our rich experience in location-based technology has allowed us to develop technology capable of precisely locating static or mobile users within units of five meters horizontally. We believe our ability to locate users with this precision is unique in our industry.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Management and Monitoring</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the date of this prospectus, we have a dedicated team of over 100 personnel reviewing and handling content on our mobile platform for compliance with applicable laws and regulations. They are aided by both proprietary and third-party software and technologies to sweep our platform and the data being transmitted on a real-time basis around-the-clock. We monitor and screen user information and user generated content against a spam list, which is a list of content and behaviors that we have determined are likely to be indicative of inappropriate or illegal content or illegal activities. Additionally, Momo users can also easily report fraud if they come across suspicious content, and each user complaint is processed by our content management and monitoring system.</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corporate policy requires a user to accept our terms of use during the registration process before becoming a Momo user. In the user agreement, the user makes certain acknowledgments and covenants, including, among others, (i) the user is solely responsible for the authenticity, legality, harmlessness and relevancy of all information submitted for registration purpose or delivered to other users, (ii) the user is not impersonating other people or spreading information in the name of others, (iii) the user alone is responsible for any losses or injuries arising from or caused by the content on our platform and (iv) the user agrees to indemnify us for our losses or injuries arising from or caused by the activities of or content generated by the user.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Branding and Marketing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our inception, our user base has grown primarily by word-of-mouth which has enabled us to build our brand with relatively low marketing costs.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historically have focused our branding and marketing efforts on online promotions via popular search engines and third-party application stores.</w:t>
      </w:r>
    </w:p>
    <w:p>
      <w:pPr>
        <w:spacing w:after="0" w:line="22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recently diversified our marketing efforts by sponsoring offline events that are popular among the young generation, such as the </w:t>
      </w:r>
      <w:r>
        <w:rPr>
          <w:rFonts w:ascii="Arial" w:cs="Arial" w:eastAsia="Arial" w:hAnsi="Arial"/>
          <w:sz w:val="18"/>
          <w:szCs w:val="18"/>
          <w:i w:val="1"/>
          <w:iCs w:val="1"/>
          <w:color w:val="auto"/>
        </w:rPr>
        <w:t>Strawberry Music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Festival </w:t>
      </w:r>
      <w:r>
        <w:rPr>
          <w:rFonts w:ascii="Arial" w:cs="Arial" w:eastAsia="Arial" w:hAnsi="Arial"/>
          <w:sz w:val="18"/>
          <w:szCs w:val="18"/>
          <w:color w:val="auto"/>
        </w:rPr>
        <w:t>in China, as well as placing the outdoor ads in subways, bus stops and taxis in various major Chinese cities. We also launched a series of brand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videos titled “</w:t>
      </w:r>
      <w:r>
        <w:rPr>
          <w:rFonts w:ascii="Arial" w:cs="Arial" w:eastAsia="Arial" w:hAnsi="Arial"/>
          <w:sz w:val="18"/>
          <w:szCs w:val="18"/>
          <w:i w:val="1"/>
          <w:iCs w:val="1"/>
          <w:color w:val="auto"/>
        </w:rPr>
        <w:t>I Am One of Momo</w:t>
      </w:r>
      <w:r>
        <w:rPr>
          <w:rFonts w:ascii="Arial" w:cs="Arial" w:eastAsia="Arial" w:hAnsi="Arial"/>
          <w:sz w:val="18"/>
          <w:szCs w:val="18"/>
          <w:color w:val="auto"/>
        </w:rPr>
        <w:t>” in the form of tastefully cinematographed micro-films starring trendy Momo users in a variety of modern professions.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the date of this prospectus, we have a dedicated team of over 30 customer service personnel in our customer service center in Chengdu, China, who support our members and mobile game players. Our dedicated customer service team is well-trained on our membership services and mobile games functionalities. For our users who subscribed to our membership services, our customer service personnel provide around-the-clock support through a members-only toll-free phone number and other online communication channels. Our customer service team helps our members with issues they encounter on our mobile platform, gathers feedback on how to improve our services and receives member complaints and suggestions. Our customer service team also addresses issues that our mobile game players encounter and gathers player feedback on the functionality and popularity of the mobile games we offer.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We rely on a combination of patent, copyright, trademark and trade secret laws and restrictions on disclosure to protect our intellectual property rights. We have registered 11 trademarks and applied for 48 trademarks with the Trademark Office of the State Administration for Industry &amp; Commerce of the PRC. We have registered 18 software copyrights and 30 copyrights with the PRC National Copyright Administration and applied for registration of 4 software copyrights and 3 copyrights with the PRC National Copyright Administration. We have also registered four domain names, including </w:t>
      </w:r>
      <w:r>
        <w:rPr>
          <w:rFonts w:ascii="Arial" w:cs="Arial" w:eastAsia="Arial" w:hAnsi="Arial"/>
          <w:sz w:val="18"/>
          <w:szCs w:val="18"/>
          <w:i w:val="1"/>
          <w:iCs w:val="1"/>
          <w:color w:val="auto"/>
        </w:rPr>
        <w:t>immomo.com</w:t>
      </w:r>
      <w:r>
        <w:rPr>
          <w:rFonts w:ascii="Arial" w:cs="Arial" w:eastAsia="Arial" w:hAnsi="Arial"/>
          <w:sz w:val="18"/>
          <w:szCs w:val="18"/>
          <w:color w:val="auto"/>
        </w:rPr>
        <w:t xml:space="preserve">, </w:t>
      </w:r>
      <w:r>
        <w:rPr>
          <w:rFonts w:ascii="Arial" w:cs="Arial" w:eastAsia="Arial" w:hAnsi="Arial"/>
          <w:sz w:val="18"/>
          <w:szCs w:val="18"/>
          <w:i w:val="1"/>
          <w:iCs w:val="1"/>
          <w:color w:val="auto"/>
        </w:rPr>
        <w:t>wemomo.com</w:t>
      </w:r>
      <w:r>
        <w:rPr>
          <w:rFonts w:ascii="Arial" w:cs="Arial" w:eastAsia="Arial" w:hAnsi="Arial"/>
          <w:sz w:val="18"/>
          <w:szCs w:val="18"/>
          <w:color w:val="auto"/>
        </w:rPr>
        <w:t>,</w:t>
      </w:r>
      <w:r>
        <w:rPr>
          <w:rFonts w:ascii="Arial" w:cs="Arial" w:eastAsia="Arial" w:hAnsi="Arial"/>
          <w:sz w:val="18"/>
          <w:szCs w:val="18"/>
          <w:i w:val="1"/>
          <w:iCs w:val="1"/>
          <w:color w:val="auto"/>
        </w:rPr>
        <w:t xml:space="preserve"> immomogame.com</w:t>
      </w:r>
      <w:r>
        <w:rPr>
          <w:rFonts w:ascii="Arial" w:cs="Arial" w:eastAsia="Arial" w:hAnsi="Arial"/>
          <w:sz w:val="18"/>
          <w:szCs w:val="18"/>
          <w:color w:val="auto"/>
        </w:rPr>
        <w:t>, and</w:t>
      </w:r>
      <w:r>
        <w:rPr>
          <w:rFonts w:ascii="Arial" w:cs="Arial" w:eastAsia="Arial" w:hAnsi="Arial"/>
          <w:sz w:val="18"/>
          <w:szCs w:val="18"/>
          <w:i w:val="1"/>
          <w:iCs w:val="1"/>
          <w:color w:val="auto"/>
        </w:rPr>
        <w:t xml:space="preserve"> momocdn.com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As a mobile social networking platform, we are subject to intense competition from providers of similar services as well as potential new types of online services, including interest-based social products. These services include various mobile applications, such as Weixin and Mobile QQ.</w:t>
      </w:r>
    </w:p>
    <w:p>
      <w:pPr>
        <w:spacing w:after="0" w:line="124" w:lineRule="exact"/>
        <w:rPr>
          <w:sz w:val="20"/>
          <w:szCs w:val="20"/>
          <w:color w:val="auto"/>
        </w:rPr>
      </w:pPr>
    </w:p>
    <w:p>
      <w:pPr>
        <w:ind w:right="400" w:firstLine="456"/>
        <w:spacing w:after="0" w:line="257" w:lineRule="auto"/>
        <w:rPr>
          <w:sz w:val="20"/>
          <w:szCs w:val="20"/>
          <w:color w:val="auto"/>
        </w:rPr>
      </w:pPr>
      <w:r>
        <w:rPr>
          <w:rFonts w:ascii="Arial" w:cs="Arial" w:eastAsia="Arial" w:hAnsi="Arial"/>
          <w:sz w:val="18"/>
          <w:szCs w:val="18"/>
          <w:color w:val="auto"/>
        </w:rPr>
        <w:t>Our competitors may have substantially more cash, traffic, technical and other resources, as well as broader product or service offerings and can leverage their relationships based on other products or services to gain a larger share of marketing budgets from customers. We believe that our ability to compete effectively depends upon many factors, including the size, composition and engagement of our user base, our ad targeting capabilities, market acceptance of our mobile marketing services, our marketing and selling efforts, and the strength and reputation of our brand. See “Risk Factors—Risks Related to Our Business and Industry—The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market in which we participate is fragmented and highly competitive. If we are unable to compete effectively for users or cannot maintain our user engagement, our business and operating results may be materially and adversely affected.” We also experience significant competition for highly skilled personnel, including management, engineers, designers and product managers. Our growth strategy depends in part on our ability to retain our existing personnel and add additional highly skilled employees. See “Risk Factors—Risks Related to Our Business and Industry—The continuing and collaborative efforts of our senior management and key employees are crucial to our success, and our business may be harmed if we were to lose their services.”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We had 76 and 209 employees as of December 31, 2012 and 2013, respectively. As of September 30, 2014, we had 358 employees, including 317 employees in Beijing, 30 employees in Chengdu and 11 employees in the U.S. The following table sets forth the numbers of our employees categorized by function as of September 30,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w w:val="95"/>
              </w:rPr>
              <w:t>As of September 30, 2014</w:t>
            </w:r>
          </w:p>
        </w:tc>
      </w:tr>
      <w:tr>
        <w:trPr>
          <w:trHeight w:val="196"/>
        </w:trPr>
        <w:tc>
          <w:tcPr>
            <w:tcW w:w="9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Function:</w:t>
            </w:r>
          </w:p>
        </w:tc>
        <w:tc>
          <w:tcPr>
            <w:tcW w:w="1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Operations</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Service development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General administration and human resources</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Sales, customer service and marketing</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r>
      <w:tr>
        <w:trPr>
          <w:trHeight w:val="223"/>
        </w:trPr>
        <w:tc>
          <w:tcPr>
            <w:tcW w:w="978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our full-time employees, we used 129 contract workers dispatched to us by staffing agencies as of September 30, 2014. These contract workers are primarily responsible for content management and monitoring and for customer service.</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required by laws and regulations in China, we participate in various employee social security plans that are organized by municipal and provincial governments, including housing, pension, medical insurance and unemployment insurance. We are required under Chinese law to make contributions to employee benefit plans at specified percentages of the salaries, bonuses and certain allowances of our employees, up to a maximum amount specified by the local government from time to time.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typically enter into standard confidentiality and employment agreements with our management and service development personnel. These contracts include a standard non-compete covenant that prohibits the employee from competing with us, directly or indirectly, during his or her employment and for two years after the termination of his or her employment, provided that we pay compensation equal to a certain percentage of the employee’s salary during the restriction period in accordance with applicable laws.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we maintain a good working relationship with our employees, and we have not experienced any labor disputes. None of our employees are represented by labor unions.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Our headquarters and our principal service development facilities are located in Beijing. We have leased an aggregate of approximately 8,100 square meters of office space in Beijing and Chengdu as of September 30, 2014. These leases vary in duration from two to three years.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servers that we use to provide our services are primarily maintained at various third-party internet data centers in Beijing and Tianjin.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do not maintain property insurance, business interruption insurance or general third-party liability insurance, nor do we maintain product liability insurance or key-man insurance.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section sets forth a summary of the most significant rules and regulations that affect our business activities in China or our shareholders’ rights to receive dividends and other distributions from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Laws and Industry Catalog Relating to Foreign Investment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establishment, operation and management of corporate entities in China are governed by the Company Law of the PRC, or the Company Law, effective in 1994, as amended in 1999, 2004, 2005 and 2013, respectively. The Company Law is applicable to our PRC subsidiary and consolidated affiliated entity and its subsidiary unless the PRC laws on foreign investment have stipulated otherwise.</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establishment, approval, registered capital requirement and day-to-day operational matters of wholly foreign-owned enterprises, such as our PRC subsidiary, are regulated by the Wholly Foreign-owned Enterprise Law of the PRC effective in 1986, as amended in 2000, and the Implementation Rules of the Wholly Foreign-owned Enterprise Law of the PRC effective in 1990, as amended in 2001 and 2014.</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Investment activities in the PRC by foreign investors are principally governed by the Guidance Catalog of Industries for Foreign Investment, or the Catalog, which was promulgated and is amended from time to time by the Ministry of Commerce and the National Development and Reform Commission. The Catalog divides industries into three categories: encouraged, restricted and prohibited. Industries not listed in the Catalog are generally open to foreign investment unless specifically restricted by other PRC regulations.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Establishment of wholly foreign-owned enterprises is generally permitted in encouraged industries. Some restricted industries are limited to equity or contractual joint ventures, while in some cases Chinese partners are required to hold the majority interests in such joint ventures. In addition, restricted category projects are subject to higher level government approvals. Foreign investors are not allowed to invest in industries in the prohibited category. For example, pursuant to the latest Catalog amended in 2011, the provision of value-added telecommunications services falls in the restricted category and the percentage of foreign ownership cannot exceed 50%.</w:t>
      </w:r>
    </w:p>
    <w:p>
      <w:pPr>
        <w:spacing w:after="0" w:line="18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To comply with such foreign ownership restrictions, we operate our businesses in China through Beijing Momo, which is owned by PRC citizens. Beijing Momo is controlled by Beijing Momo IT through a series of contractual arrangements. Beijing Momo holds an internet content provider, or ICP, license to provide value-added telecommunication services, which is an industry in which foreign investment is “restricted” under the currently effective Catalog.</w:t>
      </w:r>
    </w:p>
    <w:p>
      <w:pPr>
        <w:spacing w:after="0" w:line="187" w:lineRule="exact"/>
        <w:rPr>
          <w:sz w:val="20"/>
          <w:szCs w:val="20"/>
          <w:color w:val="auto"/>
        </w:rPr>
      </w:pPr>
    </w:p>
    <w:p>
      <w:pPr>
        <w:jc w:val="both"/>
        <w:ind w:right="320" w:firstLine="456"/>
        <w:spacing w:after="0" w:line="277" w:lineRule="auto"/>
        <w:rPr>
          <w:sz w:val="20"/>
          <w:szCs w:val="20"/>
          <w:color w:val="auto"/>
        </w:rPr>
      </w:pPr>
      <w:r>
        <w:rPr>
          <w:rFonts w:ascii="Arial" w:cs="Arial" w:eastAsia="Arial" w:hAnsi="Arial"/>
          <w:sz w:val="18"/>
          <w:szCs w:val="18"/>
          <w:color w:val="auto"/>
        </w:rPr>
        <w:t>Beijing Momo IT is currently engaged in the business of software development, which is an industry in which foreign investment is “encouraged” under the currently effective Catalog.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Telecommunications Services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September 2000, the State Council issued the Regulations on Telecommunications of China, or the Telecommunications Regulations, to regulate telecommunication activities in China. The telecommunications industry in China is governed by a licensing system based on the classifications of the telecommunications services set forth under the Telecommunications Regulations.</w:t>
      </w:r>
    </w:p>
    <w:p>
      <w:pPr>
        <w:spacing w:after="0" w:line="18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Ministry of Industry and Information Technology, together with the provincial-level communications administrative bureaus, supervises and regulates the telecommunications industry in China. The Telecommunications Regulations divide the telecommunications services into two categories: infrastructure telecommunications services and value-added telecommunications services. The operation of value-added telecommunications services is subject to the examination, approval and licenses granted by the Ministry of</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20"/>
          </w:cols>
          <w:pgMar w:left="24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color w:val="auto"/>
        </w:rPr>
        <w:t>Industry and Information Technology or its provincial-level communications administrative bureaus. According to the Catalog of Classification of Telecommunications Businesses effective in April 2003, provision of information services through the internet, such as the operation of our immomo.com.com website, is classified as value-added telecommunications services.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Foreign Investment in Value-Added Telecommunications Industry</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According to the Administrative Rules for Foreign Investment in Telecommunications Enterprises issued by the State Council effective in January 2002, as amended in September 2008, a foreign investor may hold no more than a 50% equity interest in a value-added telecommunications services provider in China and such foreign investor must have experience in providing value-added telecommunications services overseas and maintain a good track record. Due to these regulations, we operate our website through Beijing Momo and its subsidiary. The most updated version of Guiding Catalog for Foreign Investment Industries, which was promulgated by the MOFCOM and the National Development and Reform Commission and became effective from January 30, 2012, or the Guiding Catalog, imposes the 50% restrictions on foreign ownership in value-added telecommunications business as well.</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Circular on Strengthening the Administration of Foreign Investment in and Operation of Value-added Telecommunications Business, or the Circular, issued by the former Ministry of Information Industry in July 2006, reiterated the regulations on foreign investment in telecommunications businesses, which require foreign investors to set up foreign-invested enterprises and obtain an internet content provider, or ICP, license to conduct any value-added telecommunications business in China. Under the Circular, a domestic company that holds an ICP license is prohibited from leasing, transferring or selling the license to foreign investors in any form, and from providing any assistance, including providing resources, sites or facilities, to foreign investors that conduct value-added telecommunications business illegally in China. Furthermore, certain relevant assets, such as the relevant trademarks and domain names that are used in the value-added telecommunications business must be owned by the local ICP license holder or its shareholders. The Circular further requires each ICP license holder to have the necessary facilities for its approved business operations and to maintain such facilities in the regions covered by its license. In addition, all value-added telecommunications service providers are required to maintain network and information security in accordance with the standards set forth under the relevant PRC regulations. If an ICP license holder fails to comply with the requirements in the Circular and also fails to remedy such non-compliance within a specified period of time, the Ministry of Industry and Information Technology or its local counterparts have the discretion to take administrative measures against such license holder, including revoking its ICP license. Beijing Momo, the operator of our website, owns the relevant domain names and registered trademarks and has the necessary personnel to operate the website.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Publication and Cultural Products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Tentative Measures for Internet Publication Administration, or Internet Publication Measures, were jointly promulgated by the General Administration of Press and Publication and the Ministry of Industry and Information Technology on June 27, 2002 and became effective on August 1, 2002. Pursuant to the Internet Publication Measures, any act by an internet information service provider to select, edit and process content or programs and to make such content or programs available on the internet for the public to read, use and download shall constitute an internet publication. The provision of online games is deemed an internet publication activity and therefore, an online game operator shall obtain an Internet Publishing License so that it can directly offer its online games to the public in the PRC. As of the date of this prospectus, we have not yet obtained an Internet Publishing License, and are in the process of preparing the application documents.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Online Games and Foreign Ownership Restrictions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Pursuant to the Guidance Catalog, the Internet culture business (other than online music business) falls within the category of industries prohibiting foreign investment. On February 17, 2011, the Ministry of Culture issued the revised Interim Provisions on the Administration of Internet Culture, or the Internet Culture Interim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Provisions, effective as of April 1, 2011. According to the Internet Culture Interim Provisions, “Internet cultural products” are defined as including the online games specially produced for Internet and games reproduced or provided through Internet. Provision of operating Internet cultural products and related services is subject to the approval of the Ministry of Culture or its provincial counterpart.</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June 3, 2010, the Ministry of Culture promulgated the Provisional Administration Measures of Online Games, or the Online Game Measures, which came into effect on August 1, 2010. The Online Game Measures governs the research, development and operation of online games and the issuance and trading services of virtual currency. Under the Online Game Measures, all operators of online games, issuers of virtual currencies and providers of virtual currency trading services, or Online Game Business Operators, are required to obtain Internet Culture Operation Licenses. An Internet Culture Operation License is valid for three years and in case of renewal, the renewal application should be submitted 30 days prior to the expiry date of such license.</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addition, Online Game Business Operators should request the valid identity certificate of game users for registration, and notify the public 60 days ahead of the termination of any online game operations or the transfer of online game operational rights. Online game business operators are also prohibited from (i) setting compulsory matters in the online games without game users’ consent; (ii) advertising or promoting the online games that contain prohibited content, such as anything that compromise state security or divulges state secrets; and (iii) inducing game users to input legal currencies or virtual currencies to gain online game products or services, by way of random draw or other incidental means. The Online Game Measures also states that the state cultural administration authorities will formulate the compulsory clauses of a standard online game service agreement, which have been promulgated on July 29, 2010 and are required to be incorporated into the service agreement entered into between online game business operators and game users, with no conflicts with the rest of clauses in such service agreements.</w:t>
      </w:r>
    </w:p>
    <w:p>
      <w:pPr>
        <w:spacing w:after="0" w:line="17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July 11, 2008, the General Office of the State Council promulgated the Regulation on Main Functions, Internal Organization and Staffing of the General Administration of Press and Publication, or the Regulation on Three Provisions. On September 14, 2009, the Central Organization Establishment Commission issued the corresponding interpretations, or the Interpretations on Three Provisions. The Regulation on Three Provisions and the Interpretation on Three Provisions granted the Ministry of Culture overall jurisdiction to regulate the online game industry, and granted the General Administration of Press and Publication the authority to issue approvals for the internet publication of online games. Specifically, (i) the Ministry of Culture is empowered to administrate online games (other than the pre-examination and approval before internet publication of online games); (ii) subject to the Ministry of Culture’s overall administration, General Administration of Press and Publication is responsible for the pre-examination and approval of the internet publication of online games; and (iii) once an online game is launched, the online game will be only administrated and regulated by the Ministry of Culture. As of the date of this prospectus, three of the 11 online games we offer have completed the filing with the Ministry of Culture. If we fail to complete, obtain or maintain any of the required licenses or approvals or make the necessary filings, we may be subject to various penalties, such as confiscation of the net revenues that were generated through online games, the imposition of fines and the discontinuation or restriction of our operations of online games.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September 28, 2009, the General Administration of Press and Publication, the National Copyright Administration and the National Working Group to Eliminate Pornography and Illegal Publications jointly issued the Circular on Consistent Implementation of the Stipulation on the Three Provisions of the State Council and the Relevant Interpretations of the State Commission for Public Sector Reform and the Further Strengthening of the Pre-examination and approval of Online Games and the Approval and Examination of Imported Online Games, or the GAPP Notice. The GAPP Notice explicitly prohibits foreign investors from directly or indirectly engaging in online game business in China, including through consolidated affiliated entities. Foreign investors are not allowed to indirectly control or participate in PRC operating companies’ online game operations, whether (i) by establishing other joint ventures, entering into contractual arrangements or providing technical support for such operating companies; or (ii) in a disguised form such as by incorporating or directing user registration, user account management or game card consumption into online game platforms that are ultimately controlled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owned by foreign companies. The GAPP Notice reiterates that the General Administration of Press and Publication is responsible for the examination and approval of the import and publication of online games and states that downloading from the internet is considered a publication activity, which is subject to approval from the General Administration of Press and Publication. Violations of the GAPP Notice will result in severe penalties. For detailed analysis, see “Risk Factors—Risks Related to Our Corporate Structure—If the PRC government finds that the agreements that establish the structure for operating our businesses in China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Internet Content and Information Security</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Administrative Measures on Internet Information Services specify that internet information services regarding news, publications, education, medical and health care, pharmacy and medical appliances, among other things, are to be examined, approved and regulated by the relevant authorities. Internet information providers are prohibited from providing services beyond those included in the scope of their ICP licenses or filings. Furthermore, these measures clearly specify a list of prohibited content. Internet information providers are prohibited from producing, copying, publishing or distributing information that is humiliating or defamatory to others or that infringes the lawful rights and interests of others. Internet information providers that violate the prohibition may face criminal charges or administrative sanctions by the PRC authorities. Internet information providers must monitor and control the information posted on their websites. If any prohibited content is found, they must remove the offensive content immediately, keep a record of it and report it to the relevant authorities. Beijing Momo, as an ICP license holder, is subject to these measures.</w:t>
      </w:r>
    </w:p>
    <w:p>
      <w:pPr>
        <w:spacing w:after="0" w:line="17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Internet information in China is also regulated and restricted from a national security standpoint. The Standing Committee of the National People’s Congress has enacted the Decisions on Maintaining Internet Security, which may subject violators to criminal punishment in China for any effort to: (i) gain improper entry into a computer or system of strategic importance; (ii) disseminate politically disruptive information; (iii) leak state secrets; (iv) spread false commercial information; or (v) infringe intellectual property rights. The Ministry of Public Security has promulgated measures that prohibit use of the internet in ways which, among other things, result in a leakage of state secrets or a spread of socially destabilizing content. As an ICP license holder, Beijing Momo is subject to the laws and regulations relating to information security.</w:t>
      </w:r>
    </w:p>
    <w:p>
      <w:pPr>
        <w:spacing w:after="0" w:line="178"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In August 2013, the MOC issued the Administration Measures on Content Review by Internet Culture Operating Entities, or the Content Review Measures, which became effective on December 1, 2013. According to the Content Review Measures, an internet culture operating entity shall censor and review its products and services to be provided to the public to ensure that such products and services do not contain any content prohibited by law, and the censor record shall be kept for at least two years. Internet culture operating entities shall adopt technical measures to conduct real-time censor over the products and services, set up internal content control department and establish content control policies. If the internet culture operating entity identifies any illegal content, it shall immediately suspend the products or services containing such content and preserve relevant record, and, in the event that such illegal content might lead to material issues, report to provincial branch of MOC.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Anti-fatigue Compliance System and Real-name Registration System</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April 15, 2007, eight PRC government authorities, including the General Administration of Press and Publication, the Ministry of Education, the Ministry of Public Security and the Ministry of Industry and Information Technology, jointly issued the Notice on Protecting Minors Mental and Physical Health and Implementation of Online Game Anti-fatigue System, which requires the implementation of an anti-fatigue compliance system and a real-name registration system by all PRC online game operators. Under the anti-fatigue compliance system, three hours or less of continuous playing by minors, defined as game players under 18 years of age, is considered to be “healthy”, three to five hours is deemed “fatiguing”, and five hours or more is deemed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“unhealthy.” Game operators are required to reduce the value of in-game benefits to a game player by half if it discovers that the amount of a time a game player spends online has reached the “fatiguing” level, and to zero in the case of the “unhealthy” level.</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To identify whether a game player is a minor and thus subject to the anti-fatigue compliance system, a real-name registration system should be adopted to require online game players to register their real identity information before playing online games. Pursuant to a notice issued by the relevant eight government authorities on August 3, 2011, online game operators must submit the identity information of game players to the National Citizen Identity Information Center, a subordinate public institution of the Ministry of Public Security, for verification as of October 1, 2011.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Internet Information Services and Content of Internet Information</w:t>
      </w:r>
    </w:p>
    <w:p>
      <w:pPr>
        <w:spacing w:after="0" w:line="121"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In September 2000, the State Council issued the Administrative Measures on Internet Information Services, or the Internet Measures, to regulate the provision of information services to online users through the internet. According to the Internet Measures, internet information services are divided into two categories: services of an operative nature and services of a non-operative nature. Our business conducted through our immomo.com website involves operating internet information services, which requires us to obtain an ICP license. If an internet information service provider fails to obtain an ICP license, the relevant local branch of the Ministry of Industry and Information Technology may levy fines, confiscate its income or even block its website. When the ICP service involves areas of news, publication, education, medical treatment, health, pharmaceuticals and medical equipment, and if required by law or relevant regulations, specific approval from the respective regulatory authorities must be obtained prior to applying for the ICP license from the Ministry of Industry and Information Technology or its provincial level counterpart. Our affiliated PRC entity, Beijing Momo, currently holds an ICP license issued by Beijing Communications Administration, a local branch of the Ministry of Industry and Information Technology. Our ICP license will expire in February 2017 and we will renew such license prior to its expiration 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Privacy Protection</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an internet content provider, we are subject to regulations relating to protection of privacy. In recent years, PRC government authorities have enacted laws and regulations on internet use to protect personal information from any unauthorized disclosure. The Administrative Measures on Internet Information Services prohibit ICP service operators from insulting or slandering a third party or infringing upon the lawful rights and interests of a third party. Under the Several Provisions on Regulating the Market Order of Internet Information Services, issued by the Ministry of Industry and Information Technology in 2011, an ICP service operator may not collect any user personal information or provide such information to third parties without the consent of a user. An ICP service operator must expressly inform the users of the method, content and purpose for the collection and processing of such user personal information and may only collect such information necessary for the provision of its services. An ICP service operator is also required to properly keep the user personal information, and in case of any leak or likely leak of the user personal information, the ICP service operator must take immediate remedial measures and, in severe circumstances, to make an immediate report to the telecommunications regulatory authority. In addition, pursuant to the Decision on Strengthening the Protection of Online Information issued by the Standing Committee of the National People’s Congress in December 2012 and the Order for the Protection of Telecommunication and Internet User Personal Information issued by the Ministry of Industry and Information Technology in July 2013, any collection and use of user personal information must be subject to the consent of the user, abide by the principles of legality, rationality and necessity and be within the specified purposes, methods and scopes. An ICP service operator must also keep such information strictly confidential, and is further prohibited from divulging, tampering or destroying of any such information, or selling or providing such information to other parties. Any violation of the above decision or order may subject the ICP service operator to warnings, fines, confiscation of illegal gains, revocation of licenses, cancellation of filings, closedown of websites or even criminal liabilities. We are subject to these regulations as an online business operator.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Taxation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Up until December 31, 2007, our PRC subsidiary and consolidated affiliated entity and its subsidiary were subject to PRC enterprise income tax at the statutory rate of 33% on their PRC taxable income.</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January 2008, the PRC Enterprise Income Tax Law took effect. The PRC Enterprise Income Tax Law applies a uniform 25% enterprise income tax rate to both foreign-invested enterprises and domestic enterprises, except where tax incentives are granted to special industries and projects. Under the PRC Enterprise Income Tax Law and its implementation regulations, dividends generated from the business of a PRC subsidiary after January 1, 2008 and payable to its foreign investor may be subject to a withholding tax rate of 10% if the PRC tax authorities determine that the foreign investor is a non-resident enterprise, unless there is a tax treaty with China that provides for a preferential withholding tax rate. Distributions of earnings generated before January 1, 2008 are exempt from PRC withholding tax.</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the PRC Enterprise Income Tax Law, an enterprise established outside China with “de facto management bodies” within China is considered a “resident enterprise” for PRC enterprise income tax purposes and is generally subject to a uniform 25% enterprise income tax rate on its worldwide income. A circular issued by the State Administration of Taxation in April 2009 regarding the standards used to classify certain Chinese-invested enterprises controlled by Chinese enterprises or Chinese enterprise groups and established outside of China as “resident enterprises” clarified that dividends and other income paid by such PRC “resident enterprises” will be considered PRC-source income and subject to PRC withholding tax, currently at a rate of 10%, when paid to non-PRC enterprise shareholders. This circular also subjects such PRC “resident enterprises” to various reporting requirements with the PRC tax authorities. Under the implementation regulations to the PRC Enterprise Income Tax Law, a “de facto management body” is defined as a body that has material and overall management and control over the manufacturing and business operations, personnel and human resources, finances and properties of an enterprise. In addition, the tax circular mentioned above specifies that certain PRC-invested overseas enterprises controlled by a Chinese enterprise or a Chinese enterprise group in the PRC will be classified as PRC resident enterprises if the following are located or resided in the PRC: senior management personnel and departments that are responsible for daily production, operation and management; financial and personnel decision making bodies; key properties, accounting books, the company seal, and minutes of board meetings and shareholders’ meetings; and half or more of the senior management or directors who have the voting rights.</w:t>
      </w:r>
    </w:p>
    <w:p>
      <w:pPr>
        <w:spacing w:after="0" w:line="1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Pursuant to the Arrangement between Mainland China and the Hong Kong Special Administrative Region for the Avoidance of Double Taxation and Tax Evasion on Income, the withholding tax rate in respect to the payment of dividends by a PRC enterprise to a Hong Kong enterprise is reduced to 5% from a standard rate of 10%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enjoy the reduced withholding tax: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Administrative Measures for Non-Resident Enterprises to Enjoy Treatments under Tax Treaties (For Trial Implementation), which became effective in October 2009, require that non-resident enterprises must obtain approval from the relevant tax authority in order to enjoy the reduced withholding tax rate. There are also other conditions for enjoying the reduced withholding tax rate according to other relevant tax rules and regulations. Accordingly, Momo Technology HK Company Limited may be able to benefit from the 5% withholding tax rate for the dividends it receives from Beijing Momo, if it satisfies the conditions prescribed under Circular 81 and other relevant tax rules and regulations, and obtain the approvals as required. However, according to Circular 81, if the relevant tax authorities consider the transactions or arrangements we have are for the primary purpose of enjoying a favorable tax treatment, the relevant tax authorities may adjust the favorable withholding tax in the future.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accordance with the Notice on Strengthening Administration of Enterprise Income Tax for Share Transfers by Non-PRC Resident Enterprises, or Circular 698, if a non-resident enterprise transfers the equity interests of a PRC resident enterprise indirectly by disposition of the equity interests of an overseas holding company (other than a purchase and sale of shares issued by a PRC resident enterprise in public securities market), or Indirect Transfer, and such overseas holding company is located in a tax jurisdiction that: (i) has an effective tax rate of less than 12.5%, or (ii) does not tax foreign income of its residents, the non-resident enterprise, being the transferor, shall report to the PRC competent tax authority of the PRC resident enterprise this Indirect Transfer within 30 days from the date when the equity transfer agreement was made.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withholding tax at a rate of up to 10%. Circular 698 also provides that, where a non-PRC resident enterprise transfers its equity interests in a PRC resident enterprise to its related parties at a price lower than the fair market value, the relevant tax authority has the power to make a reasonable adjustment to the taxable income of the transaction. Circular 698 is retroactively effective on January 1, 2008. There is uncertainty as to the application of Circular 698. Circular 698 may be determined by the tax authorities to be applicable to our private equity financing transactions where non-resident investors were involved, if any of such transactions were determined by the tax authorities to lack reasonable commercial purpose. As a result, we and our non-resident investors in such transactions may become at risk of being taxed under Circular 698 and we may be required to expend valuable resources to comply with Circular 698 or to establish that we should not be taxed under the general anti-avoidance rule of the EIT Law, which may have a material adverse effect on our financial condition and results of operations or such non-resident investors’ investments in us. See “Risk Factors—Risks Related to Doing Business in China—We face uncertainty with respect to indirect transfer of equity interests in PRC resident enterprises by their non-PRC holding companies.”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PRC Business Tax</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Pursuant to applicable PRC tax regulations, any entity or individual conducting business in the service industry is generally required to pay a business tax at the rate of 5% on the revenues generated from providing such services. However, if the services provided are related to technology development and transfer, such business tax may be exempted subject to the approval of relevant tax authorities.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Value Added Tax</w:t>
      </w:r>
    </w:p>
    <w:p>
      <w:pPr>
        <w:spacing w:after="0" w:line="11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On January 1, 2012, the Chinese State Council officially launched a pilot value-added tax (“VAT”) reform program, or Pilot Program, applicable to businesses in selected industries. Businesses in the Pilot Program would pay VAT instead of business tax. The Pilot Industries in Shanghai included industries involving the leasing of tangible movable property, transportation services, research and development and technical services, information technology services, cultural and creative services, logistics and ancillary services, certification and consulting services. Revenues generated by advertising services, a type of “cultural and creative services,” are subject to the VAT tax rate of 6%. According to official announcements made by competent authorities in Beijing and Guangdong province, Beijing launched the same Pilot Program on September 1, 2012, and Guangdong province launched it on November 1, 2012. On</w:t>
      </w:r>
    </w:p>
    <w:p>
      <w:pPr>
        <w:spacing w:after="0" w:line="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May 24, 2013, the Ministry of Finance and the State Administration of Taxation issued the Circular on Tax Policies in the Nationwide Pilot Collection of Value Added Tax in Lieu of Business Tax in the Transportation Industry and Certain Modern Services Industries, or the Pilot Collection Circular. The scope of certain modern services industries under the Pilot Collection Circular extends to the inclusion of radio and television services. On August 1, 2013, the Pilot Program was implemented throughout China. We currently pay the pilot VAT instead of business taxes for our advertising activities, and for any other parts of our business that are deemed by the local tax authorities to belong to the applicable industries.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Copyright and Trademark Protection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copyrights and trademarks.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18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Copyright. The National People’s Congress amended the Copyright Law in 2001 and 2010 to widen the scope of works and rights that are eligible for copyright protection. The amended Copyright Law extends copyright protection to Internet activities, products disseminated over the Internet and software products. In addition, there is a voluntary registration system administered by the China Copyright Protection Center. To address copyright infringement related to content posted or transmitted over the Internet, the National Copyright Administration and former Ministry of Information Industry jointly promulgated the Administrative Measures for Copyright Protection Related to the Internet in April 2005. These measures became effective in May 2005. To comply with these laws and regulations, we have implemented internal procedures to monitor and review the content we have been licensed from content providers before they are released on our website and remove any infringing content promptly after we receive notice of infringement from the legitimate rights holder.</w:t>
      </w:r>
    </w:p>
    <w:p>
      <w:pPr>
        <w:spacing w:after="0" w:line="19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On December 20, 2001, the State Council promulgated the new Regulations on Computer Software Protection, effective from January 1, 2002, which are intended to protect the rights and interests of the computer software copyright holders and encourage the development of software industry and information economy. In the PRC, software developed by PRC citizens, legal persons or other organizations is automatically protected immediately after its development, without an application or approval. Software copyright may be registered with the designated agency and if registered, the certificate of registration issued by the software registration agency will be the primary evidence of the ownership of the copyright and other registered matters. On February 20, 2002, the National Copyright Administration of the PRC introduced the Measures on Computer Software Copyright Registration, which outline the operational procedures for registration of software copyright, as well as registration of software copyright license and transfer contracts. The Copyright Protection Center of China is mandated as the software registration agency under the regulations.</w:t>
      </w:r>
    </w:p>
    <w:p>
      <w:pPr>
        <w:spacing w:after="0" w:line="17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State Council and the National Copyright Administration have promulgated various rules and regulations and rules relating to protection of software in China, including the Regulations on Protection of Computer Software promulgated by State Council on January 30, 2013 and effective since March 1, 2013, and the Measures for Registration of Copyright of Computer Software promulgated by SARFT on February 20, 2002 and effective since the same date. According to these rules and regulations, software owners, licensees and transferees may register their rights in software with the National Copyright Administration or its local branches and obtain software copyright registration certificates. Although such registration is not mandatory under PRC law, software owners, licensees and transferees are encouraged to go through the registration process and registered software rights may be entitled to better protections. As of September 30, 2014, we had registered copyrights on 18 software programs in China.</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Trademark. The PRC Trademark Law, adopted in 1982 and revised in 1993, 2001 and 2013 respectively, protects the proprietary rights to registered trademarks. The Trademark Office under the State Administration for Industry and Commerce handles trademark registrations and may grant a term of ten years for registered trademarks, which may be extended for another ten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 As of September 30, 2014, we had 11 registered trademarks and had 48 trademark applications in China.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Foreign Exchange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Regulations on the Administration of Foreign Exchange issued by the State Council and effective in 1996, as amended in January 1997 and August 2008, respectively, current account transactions,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as the sale or purchase of goods, are not subject to PRC governmental approvals. Certain organizations in the PRC, including foreign-invested enterprises, may purchase, sell and/or remit foreign currencies at certain banks authorized to conduct foreign exchange business upon providing valid commercial documents. However, approval of the PRC State Administration of Foreign Exchange, or SAFE, is required for capital account transactions.</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August 2008, SAFE issued a circular on the conversion of foreign currency into Renminbi by a foreign-invested company that regulates how the converted Renminbi may be used. The circular requires that the registered capital of a foreign-invested enterprise converted into Renminbi from foreign currencies may only be utilized for purposes within its business scope. For example, such converted amounts may not be used for investments in or acquisitions of other companies, which can inhibit the ability of companies to consummate such transactions. In addition, SAFE strengthened its oversight of the flow and use of the Renminbi registered capital of foreign-invested enterprises converted from foreign currencies. The use of such Renminbi capital may not be changed without SAFE’s approval, and may not in any case be used to repay Renminbi loans if the proceeds of such loans have not been utilized. Furthermore, SAFE promulgated a circular in November 2010, which, among other things, requires the authenticity of settlement of net proceeds from offshore offerings to be closely examined and the net proceeds to be settled in the manner described in the offering documents. Violations may result in severe penalties, such as heavy fines.</w:t>
      </w:r>
    </w:p>
    <w:p>
      <w:pPr>
        <w:spacing w:after="0" w:line="19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November 2012, SAFE promulgated the Circular of Further Improving and Adjusting Foreign Exchange Administration Policies on Foreign Direct Investment which substantially amends and simplifies the current foreign exchange procedure. Pursuant to this circular, the opening of various special purpose foreign exchange accounts (e.g. pre-establishment expenses account, foreign exchange capital account, guarantee account), the reinvestment of RMB proceeds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before.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the PRC shall be conducted by way of registration and banks shall process foreign exchange business relating to the direct investment in the PRC based on the registration information provided by SAFE and its branches.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Labor</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Pursuant to the PRC Labor Law effective in 1995 and the PRC Labor Contract Law effective in 2008, a written labor contract is required when an employment relationship is established between an employer and an employee. Other labor-related regulations and rules of the PRC stipulate the maximum number of working hours per day and per week as well as the minimum wages. An employer is required to set up occupational safety and sanitation systems, implement the national occupational safety and sanitation rules and standards, educate employees on occupational safety and sanitation, prevent accidents at work and reduce occupational hazards.</w:t>
      </w:r>
    </w:p>
    <w:p>
      <w:pPr>
        <w:spacing w:after="0" w:line="18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PRC, workers dispatched by an employment agency are normally engaged in temporary, auxiliary or substitute work. Pursuant to the PRC Labor Contract Law, an employment agency is the employer for workers dispatched by it and shall perform an employer’s obligations toward them. The employment contract between the employment agency and the dispatched workers, and the placement agreement between the employment agency and the company that receives the dispatched workers shall be in writing. Furthermore, the company that accepts the dispatched workers shall be jointly and severally liable for any damage caused to the dispatched workers due to violation of the Labor Contract Law by the employment agencies arising from their contracts with dispatched workers. An employer is obligated to sign an indefinite term labor contract with an employee if the employer continues to employ the employee after two consecutive fixed-term labor contracts. The employer also has to pay compensation to the employee if the employer terminates an indefinite term labor contract. Except where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employer proposes to renew a labor contract by maintaining or raising the conditions of the labor contract and the employee is not agreeable to the renewal, an employer is required to compensate the employee when a definite term labor contract expires. Furthermore, under the Regulations on Paid Annual Leave for Employees issued by the State Council in December 2007 and effective as of January 2008, an employee who has served an employer for more than one year and less than ten years is entitled to a 5-day paid vacation, those whose service period ranges from 10 to 20 years is entitled to a 10-day paid vacation, and those who has served for more than 20 years is entitled to a 15-day paid vacation. An employee who does not use such vacation time at the request of the employer shall be compensated at three times their normal salaries for each waived vacation day.</w:t>
      </w:r>
    </w:p>
    <w:p>
      <w:pPr>
        <w:spacing w:after="0" w:line="17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Pursuant to the Regulations on Occupational Injury Insurance effective in 2004, as amended in 2010, and the Interim Measures concerning the Maternity Insurance for Enterprise Employees effective in 1995, PRC companies must pay occupational injury insurance premiums and maternity insurance premiums for their employees. Pursuant to the Interim Regulations on the Collection and Payment of Social Insurance Premiums effective in 1999 and the Interim Measures concerning the Administration of the Registration of Social Insurance effective in 1999, basic pension insurance, medical insurance and unemployment insurance are collectively referred to as social insurance. Both PRC companies and their employees are required to contribute to the social insurance plans. Pursuant to the Regulations on the Administration of Housing Fund effective in 1999, as amended in 2002, PRC companies must register with applicable housing fund management centers and establish a special housing fund account in an entrusted bank. Both PRC companies and their employees are required to contribute to the housing funds.</w:t>
      </w:r>
    </w:p>
    <w:p>
      <w:pPr>
        <w:spacing w:after="0" w:line="17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According to the Social Insurance Law, an employer that fails to make social insurance contributions may be ordered to pay the required contributions within a stipulated deadline and be subject to a late fee. If the employer still fails to rectify the failure to make social insurance contributions within the stipulated deadline, it may be subject to a fine ranging from one to three times the amount overdue. According to the Regulations on Administration of Housing Fund, an enterprise that fails to make housing fund contributions may be ordered to rectify the noncompliance and pay the required contributions within a stipulated deadline; otherwise, an application may be made to a local court for compulsory enforcement.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Dividend Distribution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Wholly foreign-owned companies in the PRC may pay dividends only out of their accumulated profits after tax as determined in accordance with PRC accounting standards. Remittance of dividends by a wholly foreign-owned enterprise out of China is subject to examination by the banks designated by SAFE. Wholly foreign-owned companies may not pay dividends unless they set aside at least 10% of their respective accumulated profits after tax each year, if any, to fund certain reserve funds, until such time as the accumulative amount of such fund reaches 50% of the wholly foreign-owned company’s registered capital. These reserve funds are not distributable as cash dividends.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Regulations on Offshore Special Purpose Companies Held by PRC Residents or Citizens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SAFE Circular on Relevant Issues Relating to Domestic Resident’s Investment and Financing and Roundtrip Investment through Special Purpose Vehicles, or Circular 37, issued by SAFE and effective in July 2014, regulates foreign exchange matters in relation to the use of special purpose vehicles, or SPVs, by PRC residents or entities to seek offshore investment and financing and conduct round trip investment in China. Under Circular 37, a SPV refers to an offshore entity established or controlled, directly or indirectly, by PRC residents or entities for the purpose of seeking offshore financing or making offshore investment, using legitimate domestic or offshore assets or interests, while “round trip investment” refers to the direct investment in China by PRC residents or entities through SPVs, namely, establishing foreign-invested enterprises to obtain the ownership, control rights and management rights. Circular 37 requires that, before making contribution into an SPV, PRC residents or entities are required to complete foreign exchange registration with the SAFE or its local branch. SAFE Circular 37 further provides that option or share-based incentive tool holders of a non-listed SPV</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can exercise the options or share incentive tools to become a shareholder of such non-listed SPV, subject to registration with SAFE or its local branch.</w:t>
      </w:r>
    </w:p>
    <w:p>
      <w:pPr>
        <w:spacing w:after="0" w:line="23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PRC residents or entities who have contributed legitimate domestic or offshore interests or assets to SPVs but have yet to obtain SAFE registration before the implementation of the Circular 37 shall register their ownership interests or control in such SPVs with SAFE or its local branch. An amendment to the registration is required if there is a material change in the SPV registered, such as any change of basic information (including change of such PRC residents, name and operation term), increases or decreases in investment amount, transfers or exchanges of shares, or mergers or divisions. Failure to comply with the registration procedures set forth in Circular 37, or making misrepresentation on or failure to disclose controllers of foreign-invested enterprise that is established through round-trip investment, may result in restrictions on the foreign exchange activities of the relevant foreign-invested enterprises,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18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completed the foreign exchange registration of PRC resident shareholders of Mr. Yan Tang, Mr. Yong Li, Mr. Xiaoliang Lei and Mr. Zhiwei Li for our financings and share transfer.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M&amp;A Rule and Overseas Listing</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August 2006, six PRC regulatory agencies, including China Securities Regulatory Commission, or CSRC, jointly adopted the Provisions Regarding Mergers and Acquisitions of Domestic Enterprises by Foreign Investors, or the M&amp;A Rule, which became effective in September 2006. This M&amp;A Rule purports to require, among other things, offshore SPVs, formed for listing purposes through acquisition of PRC domestic companies and controlled by PRC companies or individuals, to obtain the approval of the CSRC prior to publicly listing their securities on an overseas stock exchange. We believe that CSRC approval is not required in the context of this offering as we are not a special purpose vehicle formed for listing purpose through acquisition of domestic companies that are controlled by our PRC individual shareholders, as we acquired contractual control rather than equity interests in our domestic affiliated entities.</w:t>
      </w:r>
    </w:p>
    <w:p>
      <w:pPr>
        <w:spacing w:after="0" w:line="18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However, we cannot assure you that the relevant PRC government agency, including the CSRC, would reach the same conclusion as we do. If the CSRC or other PRC regulatory agency subsequently determines that we need to obtain the CSRC’s approval for this offering or if CSRC or any other PRC government authorities will promulgate any interpretation or implementing rules before our listing that would require CSRC or other governmental approvals for this offering, we may face sanctions by the CSRC or other PRC regulatory agencies. In such event, these regulatory agencies may impose fines and penalties on our operations in the PRC, limit our operating privileges in the PRC, delay or restrict the repatriation of the proceeds from this offering into the PRC, or take other actions that could have a material adverse effect on our business, financial condition, results of operations, and prospects, as well as the trading price of our ADSs. The CSRC or other PRC regulatory agencies may also take actions requiring us to halt this offering before settlement and delivery of the ADSs offered by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Regulations on Employee Share Options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Pursuant to the Notice on Issues Concerning the Foreign Exchange Administration for Domestic Individuals Participating in Stock Incentive Plan of Overseas Publicly Listed Company, or Circular 7,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subject to a few exceptions, are required to register with SAFE through a domestic qualified agent, which could be a PRC subsidiary of such overseas listed company, and complete certain other procedures. Failure to complete the SAFE registrations may subject them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fines and legal sanctions and may also limit our ability to contribute additional capital into our wholly foreign-owned subsidiaries in China and limit these subsidiaries’ ability to distribute dividends to us.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State Administration for Taxation has issued certain circulars concerning employee share options or restricted shares. Under these circulars, the employees working in the PRC who exercise share options or are granted restricted shares will be subject to PRC individual income tax. The PRC subsidiaries of such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according to relevant laws and regulations, the PRC subsidiaries may face sanctions imposed by the tax authorities or other PRC government authorities. Following the completion of this offering, we intend to file registration with the local SAFE bureau for our employees who are PRC residents and have been granted shares or share options under our 2012 Plan and 2014 Plan and follow other procedures set forth in Circular 7 and other applicable regulations. These registrations and filings are a matter of foreign exchange control and tax procedure and the grant of share incentive awards to employees is not subject to the government’s discretionary approval. Compliance with PRC regulations on employee incentive plans has not had, and we believe will not in the future have, any material adverse effect on the implementation of our 2012 Plan and 2014 Plan.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Pr>
          <w:p>
            <w:pPr>
              <w:spacing w:after="0"/>
              <w:rPr>
                <w:sz w:val="20"/>
                <w:szCs w:val="20"/>
                <w:color w:val="auto"/>
              </w:rPr>
            </w:pPr>
            <w:r>
              <w:rPr>
                <w:rFonts w:ascii="Arial" w:cs="Arial" w:eastAsia="Arial" w:hAnsi="Arial"/>
                <w:sz w:val="14"/>
                <w:szCs w:val="14"/>
                <w:b w:val="1"/>
                <w:bCs w:val="1"/>
                <w:color w:val="auto"/>
                <w:w w:val="92"/>
              </w:rPr>
              <w:t>Directors and Executive Officers</w:t>
            </w:r>
          </w:p>
        </w:tc>
        <w:tc>
          <w:tcPr>
            <w:tcW w:w="3640" w:type="dxa"/>
            <w:vAlign w:val="bottom"/>
          </w:tcPr>
          <w:p>
            <w:pPr>
              <w:spacing w:after="0"/>
              <w:rPr>
                <w:sz w:val="16"/>
                <w:szCs w:val="16"/>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5220" w:type="dxa"/>
            <w:vAlign w:val="bottom"/>
          </w:tcPr>
          <w:p>
            <w:pPr>
              <w:ind w:left="2200"/>
              <w:spacing w:after="0"/>
              <w:rPr>
                <w:sz w:val="20"/>
                <w:szCs w:val="20"/>
                <w:color w:val="auto"/>
              </w:rPr>
            </w:pPr>
            <w:r>
              <w:rPr>
                <w:rFonts w:ascii="Arial" w:cs="Arial" w:eastAsia="Arial" w:hAnsi="Arial"/>
                <w:sz w:val="14"/>
                <w:szCs w:val="14"/>
                <w:b w:val="1"/>
                <w:bCs w:val="1"/>
                <w:color w:val="auto"/>
              </w:rPr>
              <w:t>Position/Title</w:t>
            </w:r>
          </w:p>
        </w:tc>
      </w:tr>
      <w:tr>
        <w:trPr>
          <w:trHeight w:val="195"/>
        </w:trPr>
        <w:tc>
          <w:tcPr>
            <w:tcW w:w="2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Yan Tang</w:t>
            </w:r>
          </w:p>
        </w:tc>
        <w:tc>
          <w:tcPr>
            <w:tcW w:w="3640" w:type="dxa"/>
            <w:vAlign w:val="bottom"/>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w:t>
            </w:r>
          </w:p>
        </w:tc>
        <w:tc>
          <w:tcPr>
            <w:tcW w:w="30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and Chief Executive Officer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Yong Li</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40</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Sichuan Zhang</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31</w:t>
            </w:r>
          </w:p>
        </w:tc>
        <w:tc>
          <w:tcPr>
            <w:tcW w:w="5220" w:type="dxa"/>
            <w:vAlign w:val="bottom"/>
          </w:tcPr>
          <w:p>
            <w:pPr>
              <w:spacing w:after="0"/>
              <w:rPr>
                <w:sz w:val="20"/>
                <w:szCs w:val="20"/>
                <w:color w:val="auto"/>
              </w:rPr>
            </w:pPr>
            <w:r>
              <w:rPr>
                <w:rFonts w:ascii="Arial" w:cs="Arial" w:eastAsia="Arial" w:hAnsi="Arial"/>
                <w:sz w:val="18"/>
                <w:szCs w:val="18"/>
                <w:color w:val="auto"/>
              </w:rPr>
              <w:t>Director and President of U.S. operations</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David Ying Zhang</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41</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Hongping Zhang</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51</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Yongming Wu</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39</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Ho Kee Harry Man</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38</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Neil Nanpeng Shen</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47</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Feng Yu</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51</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9"/>
              </w:rPr>
              <w:t>Benson Bing Chung Tam</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51</w:t>
            </w:r>
          </w:p>
        </w:tc>
        <w:tc>
          <w:tcPr>
            <w:tcW w:w="5220" w:type="dxa"/>
            <w:vAlign w:val="bottom"/>
          </w:tcPr>
          <w:p>
            <w:pPr>
              <w:spacing w:after="0"/>
              <w:rPr>
                <w:sz w:val="20"/>
                <w:szCs w:val="20"/>
                <w:color w:val="auto"/>
              </w:rPr>
            </w:pPr>
            <w:r>
              <w:rPr>
                <w:rFonts w:ascii="Arial" w:cs="Arial" w:eastAsia="Arial" w:hAnsi="Arial"/>
                <w:sz w:val="18"/>
                <w:szCs w:val="18"/>
                <w:color w:val="auto"/>
              </w:rPr>
              <w:t>Independent Director Appointee</w:t>
            </w:r>
            <w:r>
              <w:rPr>
                <w:rFonts w:ascii="Arial" w:cs="Arial" w:eastAsia="Arial" w:hAnsi="Arial"/>
                <w:sz w:val="11"/>
                <w:szCs w:val="11"/>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Dave Daqing Qi</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5220" w:type="dxa"/>
            <w:vAlign w:val="bottom"/>
          </w:tcPr>
          <w:p>
            <w:pPr>
              <w:spacing w:after="0"/>
              <w:rPr>
                <w:sz w:val="20"/>
                <w:szCs w:val="20"/>
                <w:color w:val="auto"/>
              </w:rPr>
            </w:pPr>
            <w:r>
              <w:rPr>
                <w:rFonts w:ascii="Arial" w:cs="Arial" w:eastAsia="Arial" w:hAnsi="Arial"/>
                <w:sz w:val="18"/>
                <w:szCs w:val="18"/>
                <w:color w:val="auto"/>
              </w:rPr>
              <w:t>Independent Director Appointee</w:t>
            </w:r>
            <w:r>
              <w:rPr>
                <w:rFonts w:ascii="Arial" w:cs="Arial" w:eastAsia="Arial" w:hAnsi="Arial"/>
                <w:sz w:val="11"/>
                <w:szCs w:val="11"/>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Xiaoliang Lei</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31</w:t>
            </w:r>
          </w:p>
        </w:tc>
        <w:tc>
          <w:tcPr>
            <w:tcW w:w="5220" w:type="dxa"/>
            <w:vAlign w:val="bottom"/>
          </w:tcPr>
          <w:p>
            <w:pPr>
              <w:spacing w:after="0"/>
              <w:rPr>
                <w:sz w:val="20"/>
                <w:szCs w:val="20"/>
                <w:color w:val="auto"/>
              </w:rPr>
            </w:pPr>
            <w:r>
              <w:rPr>
                <w:rFonts w:ascii="Arial" w:cs="Arial" w:eastAsia="Arial" w:hAnsi="Arial"/>
                <w:sz w:val="18"/>
                <w:szCs w:val="18"/>
                <w:color w:val="auto"/>
              </w:rPr>
              <w:t>Co-president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Jingping Zhang</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39</w:t>
            </w:r>
          </w:p>
        </w:tc>
        <w:tc>
          <w:tcPr>
            <w:tcW w:w="5220" w:type="dxa"/>
            <w:vAlign w:val="bottom"/>
          </w:tcPr>
          <w:p>
            <w:pPr>
              <w:spacing w:after="0"/>
              <w:rPr>
                <w:sz w:val="20"/>
                <w:szCs w:val="20"/>
                <w:color w:val="auto"/>
              </w:rPr>
            </w:pPr>
            <w:r>
              <w:rPr>
                <w:rFonts w:ascii="Arial" w:cs="Arial" w:eastAsia="Arial" w:hAnsi="Arial"/>
                <w:sz w:val="18"/>
                <w:szCs w:val="18"/>
                <w:color w:val="auto"/>
              </w:rPr>
              <w:t>Co-president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Zhiwei Li</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28</w:t>
            </w:r>
          </w:p>
        </w:tc>
        <w:tc>
          <w:tcPr>
            <w:tcW w:w="522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5"/>
              </w:rPr>
              <w:t>Jonathan Xiaosong Zhang</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51</w:t>
            </w: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Li Wang</w:t>
            </w:r>
          </w:p>
        </w:tc>
        <w:tc>
          <w:tcPr>
            <w:tcW w:w="4180" w:type="dxa"/>
            <w:vAlign w:val="bottom"/>
            <w:gridSpan w:val="3"/>
          </w:tcPr>
          <w:p>
            <w:pPr>
              <w:jc w:val="right"/>
              <w:ind w:right="300"/>
              <w:spacing w:after="0"/>
              <w:rPr>
                <w:sz w:val="20"/>
                <w:szCs w:val="20"/>
                <w:color w:val="auto"/>
              </w:rPr>
            </w:pPr>
            <w:r>
              <w:rPr>
                <w:rFonts w:ascii="Arial" w:cs="Arial" w:eastAsia="Arial" w:hAnsi="Arial"/>
                <w:sz w:val="18"/>
                <w:szCs w:val="18"/>
                <w:color w:val="auto"/>
              </w:rPr>
              <w:t>31</w:t>
            </w:r>
          </w:p>
        </w:tc>
        <w:tc>
          <w:tcPr>
            <w:tcW w:w="522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Each of Yongming Wu and Ho Kee Harry Man has tendered his resignation, which will be effective immediately prior to the SEC’s declaration of effectiveness of our registration statement on</w:t>
      </w:r>
    </w:p>
    <w:p>
      <w:pPr>
        <w:spacing w:after="0" w:line="148" w:lineRule="exact"/>
        <w:rPr>
          <w:sz w:val="20"/>
          <w:szCs w:val="20"/>
          <w:color w:val="auto"/>
        </w:rPr>
      </w:pPr>
    </w:p>
    <w:p>
      <w:pPr>
        <w:ind w:left="340" w:right="380" w:hanging="332"/>
        <w:spacing w:after="0" w:line="253"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Each of Benson Bing Chung Tam and Dr. Dave Daqing Qi has accepted appointment as our independent director, effective upon the SEC’s declaration of effectiveness of our registration statement on Form F-1, of which this prospectus is a part.</w:t>
      </w:r>
    </w:p>
    <w:p>
      <w:pPr>
        <w:spacing w:after="0" w:line="17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i w:val="1"/>
          <w:iCs w:val="1"/>
          <w:color w:val="auto"/>
        </w:rPr>
        <w:t xml:space="preserve">Mr. Yan Tang </w:t>
      </w:r>
      <w:r>
        <w:rPr>
          <w:rFonts w:ascii="Arial" w:cs="Arial" w:eastAsia="Arial" w:hAnsi="Arial"/>
          <w:sz w:val="18"/>
          <w:szCs w:val="18"/>
          <w:color w:val="auto"/>
        </w:rPr>
        <w:t>is our co-founder and has served as our director and chief executive officer since our inception in July 2011. Mr. Tang was appointed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the chairman of our board of directors in November 2014. Prior to founding our company, from 2003 to 2011, Mr. Tang worked at NetEase, Inc. (NASDAQ: NTES), or NetEase, initially as editor and later editor-in-chief. Mr. Tang was named by </w:t>
      </w:r>
      <w:r>
        <w:rPr>
          <w:rFonts w:ascii="Arial" w:cs="Arial" w:eastAsia="Arial" w:hAnsi="Arial"/>
          <w:sz w:val="18"/>
          <w:szCs w:val="18"/>
          <w:i w:val="1"/>
          <w:iCs w:val="1"/>
          <w:color w:val="auto"/>
        </w:rPr>
        <w:t>Fortune Magazine</w:t>
      </w:r>
      <w:r>
        <w:rPr>
          <w:rFonts w:ascii="Arial" w:cs="Arial" w:eastAsia="Arial" w:hAnsi="Arial"/>
          <w:sz w:val="18"/>
          <w:szCs w:val="18"/>
          <w:color w:val="auto"/>
        </w:rPr>
        <w:t xml:space="preserve"> as one of its “40 Under 40,” a list of the most powerful, influential and important business elites under the age of 40, in October 2014. Mr. Tang received his bachelor’s of science degree from Chengdu University of Technology in China in 2000.</w:t>
      </w:r>
    </w:p>
    <w:p>
      <w:pPr>
        <w:spacing w:after="0" w:line="18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Mr. Yong Li </w:t>
      </w:r>
      <w:r>
        <w:rPr>
          <w:rFonts w:ascii="Arial" w:cs="Arial" w:eastAsia="Arial" w:hAnsi="Arial"/>
          <w:sz w:val="16"/>
          <w:szCs w:val="16"/>
          <w:color w:val="auto"/>
        </w:rPr>
        <w:t>is our co-founder and has been our director since April 2012. Mr. Li founded Fenbi Inc. (Cayman), a provider of online education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in May 2011, and has been a board director since then. In April 2012, he founded Beijing Jingguanyu Technology Co., Ltd., a software service company, and has been its chief executive officer since then. From May 2005 to May 2010, Mr. Li was the editor-in-chief and vice president at NetEase, and then the vice president at NetEase and president of NetEase career portal business unit. Between February 2001 and May 2005, Mr. Li served as an executive editor, executive editor-in-chief and then general manager of Global Entrepreneur, a Chinese magazine. Mr. Li is also a director of two privately held companies. Mr. Li received his MBA degree from Peking University in 2004 and bachelor’s degree in law from Renmin University in China in 1996.</w:t>
      </w:r>
    </w:p>
    <w:p>
      <w:pPr>
        <w:spacing w:after="0" w:line="16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i w:val="1"/>
          <w:iCs w:val="1"/>
          <w:color w:val="auto"/>
        </w:rPr>
        <w:t xml:space="preserve">Ms. Sichuan Zhang </w:t>
      </w:r>
      <w:r>
        <w:rPr>
          <w:rFonts w:ascii="Arial" w:cs="Arial" w:eastAsia="Arial" w:hAnsi="Arial"/>
          <w:sz w:val="18"/>
          <w:szCs w:val="18"/>
          <w:color w:val="auto"/>
        </w:rPr>
        <w:t>has been our director since April 2012 and the president of our U.S. operations since June 2014. Ms. Zhang joined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July 2011 and was responsible for product design, then marketing strategies and executions. Prior to joining our company, from June 2009 to February 2011, she co-founded 4 Degrees Motion Design, an advertising design firm. She was an art director of Modern Media, a Chinese media company, from January 2009 to May 2009, a senior designer of Phoenix New Media Limited (NYSE: FENG) from January 2008 to January 2009, and a web designer of NetEase from March 2006 to April 2007. Ms. Zhang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received her bachelor’s degree in South China Normal University in 2005. Ms. Zhang is the wife of Mr. Yan Tang.</w:t>
      </w:r>
    </w:p>
    <w:p>
      <w:pPr>
        <w:spacing w:after="0" w:line="225"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i w:val="1"/>
          <w:iCs w:val="1"/>
          <w:color w:val="auto"/>
        </w:rPr>
        <w:t xml:space="preserve">Mr. David Ying Zhang </w:t>
      </w:r>
      <w:r>
        <w:rPr>
          <w:rFonts w:ascii="Arial" w:cs="Arial" w:eastAsia="Arial" w:hAnsi="Arial"/>
          <w:sz w:val="17"/>
          <w:szCs w:val="17"/>
          <w:color w:val="auto"/>
        </w:rPr>
        <w:t>has been our director since April 2012. Mr. Zhang is a founding managing partner of Matrix Partners China, where he oversees</w:t>
      </w:r>
      <w:r>
        <w:rPr>
          <w:rFonts w:ascii="Arial" w:cs="Arial" w:eastAsia="Arial" w:hAnsi="Arial"/>
          <w:sz w:val="17"/>
          <w:szCs w:val="17"/>
          <w:i w:val="1"/>
          <w:iCs w:val="1"/>
          <w:color w:val="auto"/>
        </w:rPr>
        <w:t xml:space="preserve"> </w:t>
      </w:r>
      <w:r>
        <w:rPr>
          <w:rFonts w:ascii="Arial" w:cs="Arial" w:eastAsia="Arial" w:hAnsi="Arial"/>
          <w:sz w:val="17"/>
          <w:szCs w:val="17"/>
          <w:color w:val="auto"/>
        </w:rPr>
        <w:t>all of the venture capital investment firm’s operations. Mr. Zhang is currently also a director of Cheetah Mobile Inc. (NYSE: CMCM) and iKang Healthcare Group, Inc. (NASDAQ: KANG). In 2002, Mr. Zhang established and has since expanded WI Harper Group’s Beijing operations and co-managed its China portfolios. Prior to joining WI Harper Group, Mr. Zhang worked at Salomon Smith Barney, where he was responsible for analyzing, structuring and marketing companies in the internet, software and semiconductor sectors. Before then, Mr. Zhang worked at ABN AMRO Capital as a senior venture associate. Mr. Zhang received master of science degree in biotechnology and business from Northwestern University in 1999 and bachelor of science degree in clinical science with minor in chemistry from California State University in 1997.</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Mr. Hongping Zhang </w:t>
      </w:r>
      <w:r>
        <w:rPr>
          <w:rFonts w:ascii="Arial" w:cs="Arial" w:eastAsia="Arial" w:hAnsi="Arial"/>
          <w:sz w:val="16"/>
          <w:szCs w:val="16"/>
          <w:color w:val="auto"/>
        </w:rPr>
        <w:t>has been our director since July 2012. Mr. Zhang is a vice president of Alibaba Group and one of the managing directors on</w:t>
      </w:r>
      <w:r>
        <w:rPr>
          <w:rFonts w:ascii="Arial" w:cs="Arial" w:eastAsia="Arial" w:hAnsi="Arial"/>
          <w:sz w:val="16"/>
          <w:szCs w:val="16"/>
          <w:i w:val="1"/>
          <w:iCs w:val="1"/>
          <w:color w:val="auto"/>
        </w:rPr>
        <w:t xml:space="preserve"> </w:t>
      </w:r>
      <w:r>
        <w:rPr>
          <w:rFonts w:ascii="Arial" w:cs="Arial" w:eastAsia="Arial" w:hAnsi="Arial"/>
          <w:sz w:val="16"/>
          <w:szCs w:val="16"/>
          <w:color w:val="auto"/>
        </w:rPr>
        <w:t>Alibaba’s strategic investment team. He also serves on the board of a number of investee companies of Alibaba Group. Prior to joining Alibaba Group in 2011, Mr. Zhang was engaged in venture capital investments with Northern Light Venture Capital from 2005 to 2011. Between 2000 and 2005, Mr. Zhang worked as a senior director of business development covering the Asia-Pacific region for Lantern Communications, and the general manager covering Greater China for ANDA Networks. In 1998, Mr. Zhang co-founded ServGate Technologies, Inc. in Silicon Valley. From 1995 to 1998, Mr. Zhang worked for China CITIC Group specializing in fund management and strategic consulting. Mr. Zhang received his MBA from the University of San Francisco in 1994, master’s degree in imaging science from Rochester Institute of Technology in 1991, and bachelor’s degree in optical engineering from Tsinghua University in 1986.</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Mr. Yongming Wu </w:t>
      </w:r>
      <w:r>
        <w:rPr>
          <w:rFonts w:ascii="Arial" w:cs="Arial" w:eastAsia="Arial" w:hAnsi="Arial"/>
          <w:sz w:val="17"/>
          <w:szCs w:val="17"/>
          <w:color w:val="auto"/>
        </w:rPr>
        <w:t>has been our director since October 2013. Mr. Wu is a co-founder of Alibaba Group, and has served as a senior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Alibaba Group since 2011. Mr. Wu has been instrumental in leading a number of milestone developments of Alibaba Group, including the establishment of the B2B internet infrastructure, the expansion of the advertising business that culminated in Alimama, as well as strengthening the wireless technology capability of Alibaba Group and overseeing the open platform strategy of Taobao as its chief technology officer. Mr. Wu also led the creation and development of Alipay. Prior to joining Alibaba Group, from 1997 to 1998, Mr. Wu worked at China Pages, one of the first Internet-based directories in China, and later spearheaded the technology development for the website of China’s Ministry of Foreign Trade and Economic Cooperation. Mr. Wu graduated from Zhejiang University of Technology with a major in computer science in 1996.</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Mr. Ho Kee Harry Man </w:t>
      </w:r>
      <w:r>
        <w:rPr>
          <w:rFonts w:ascii="Arial" w:cs="Arial" w:eastAsia="Arial" w:hAnsi="Arial"/>
          <w:sz w:val="16"/>
          <w:szCs w:val="16"/>
          <w:color w:val="auto"/>
        </w:rPr>
        <w:t>has been our director since October 2013. Mr. Man has over 14 years of experience in the venture capital and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Since January 2008, Mr. Man has been a partner at Matrix Partners China, where he oversees investments in the mobile internet sector. From early 2006 to 2008, Mr. Man was a partner at WI Harper Group, managing various investment funds focused on the China TMT market. Prior to joining WI Harper Group, Mr. Man was the vice president leading the corporate development department of Linktone Ltd. (NASDAQ: LTON), a wireless company based in China, from October 2004 to March 2006. Between 2000 and 2004, Mr. Man worked for CDC Corporation, formerly Chinadotcom corporation (NASDAQ: CHINA), the first Chinese internet company listed in the United States, where he led investments activities in China. Prior to that, Mr. Man served in the business consulting division of Andersen &amp; Co., where he was involved in business advisory projects in the IT industry. Mr. Man earned his master’s degree in computer science and engineering and bachelor’s degree in computer engineering from the University of Michigan Ann Arbor in 1998.</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i w:val="1"/>
          <w:iCs w:val="1"/>
          <w:color w:val="auto"/>
        </w:rPr>
        <w:t xml:space="preserve">Mr. Neil Nanpeng Shen </w:t>
      </w:r>
      <w:r>
        <w:rPr>
          <w:rFonts w:ascii="Arial" w:cs="Arial" w:eastAsia="Arial" w:hAnsi="Arial"/>
          <w:sz w:val="18"/>
          <w:szCs w:val="18"/>
          <w:color w:val="auto"/>
        </w:rPr>
        <w:t>was appointed to be our director in May 2014. Mr. Shen is the founding managing partner of Sequoia Capital China. Mr. Shen</w:t>
      </w:r>
      <w:r>
        <w:rPr>
          <w:rFonts w:ascii="Arial" w:cs="Arial" w:eastAsia="Arial" w:hAnsi="Arial"/>
          <w:sz w:val="18"/>
          <w:szCs w:val="18"/>
          <w:i w:val="1"/>
          <w:iCs w:val="1"/>
          <w:color w:val="auto"/>
        </w:rPr>
        <w:t xml:space="preserve"> </w:t>
      </w:r>
      <w:r>
        <w:rPr>
          <w:rFonts w:ascii="Arial" w:cs="Arial" w:eastAsia="Arial" w:hAnsi="Arial"/>
          <w:sz w:val="18"/>
          <w:szCs w:val="18"/>
          <w:color w:val="auto"/>
        </w:rPr>
        <w:t>is a co-founder and director of Ctrip.com International, Ltd. (NASDAQ: CTRP), or Ctrip, a leading online travel services provider in China. Mr. Shen served as the chief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financial officer of Ctrip from 2000 to October 2005 and as president from August 2003 to October 2005. Mr. Shen also co-founded Home Inns &amp; Hotels Management Inc (NASDAQ: HMIN), or Home Inns, a leading economy hotel chain in China. Prior to founding Ctrip and Home Inns, Mr. Shen had worked for more than eight years in the investment banking industry in New York and Hong Kong. Currently, Mr. Shen is the co-chairman of Home Inns, a non-executive director of E-House (China) Holdings Limited (NYSE: EJ), a non-executive director of Le Gaga Holdings Limited (NASDAQ: GAGA), as well as a director of Qihoo 360 Technology Co. Ltd. (NYSE: QIHU). Mr. Shen received his master’s degree from the Yale University in 1992 and his bachelor’s degree from Shanghai Jiao Tong University in 1988.</w:t>
      </w:r>
    </w:p>
    <w:p>
      <w:pPr>
        <w:spacing w:after="0" w:line="193"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i w:val="1"/>
          <w:iCs w:val="1"/>
          <w:color w:val="auto"/>
        </w:rPr>
        <w:t xml:space="preserve">Mr. Feng Yu </w:t>
      </w:r>
      <w:r>
        <w:rPr>
          <w:rFonts w:ascii="Arial" w:cs="Arial" w:eastAsia="Arial" w:hAnsi="Arial"/>
          <w:sz w:val="17"/>
          <w:szCs w:val="17"/>
          <w:color w:val="auto"/>
        </w:rPr>
        <w:t>has been our director since May 2014. Mr. Yu is the co-founder and chairman of Yunfeng Capital, a private equity fund established in</w:t>
      </w:r>
      <w:r>
        <w:rPr>
          <w:rFonts w:ascii="Arial" w:cs="Arial" w:eastAsia="Arial" w:hAnsi="Arial"/>
          <w:sz w:val="17"/>
          <w:szCs w:val="17"/>
          <w:i w:val="1"/>
          <w:iCs w:val="1"/>
          <w:color w:val="auto"/>
        </w:rPr>
        <w:t xml:space="preserve"> </w:t>
      </w:r>
      <w:r>
        <w:rPr>
          <w:rFonts w:ascii="Arial" w:cs="Arial" w:eastAsia="Arial" w:hAnsi="Arial"/>
          <w:sz w:val="17"/>
          <w:szCs w:val="17"/>
          <w:color w:val="auto"/>
        </w:rPr>
        <w:t>2010. Between 2006 and 2008, Mr. Yu was the co-chairman and president of Focus Media Holding Limited, which was previously listed on NASDAQ. Prior to that, in 2003, Mr. Yu founded Shanghai Target Media Co., Ltd., which operated out-of-home television advertising network, and served as its chief executive officer. Mr. Yu currently is also a director of Huayi Brothers Media Group, a company listed on the Shenzhen Stock Exchange (Stock Code: 300027) and Media Asia Group Holdings Limited, a company listed on the Hong Kong Stock Exchange (Stock Code: 8075). Mr. Yu is also an independent director of ZhongAn Online P&amp;C Insurance Co., Ltd. and Beijing Vantone Real Estate Co., Ltd. listed on the Shenzhen Stock Exchange (Stock Code: 600246). Mr. Yu received an EMBA degree from China Europe International Business School in 2001, master’s degree in philosophy from Fudan University in 1991 and a bachelor’s degree in philosophy from the same university in 1986.</w:t>
      </w:r>
    </w:p>
    <w:p>
      <w:pPr>
        <w:spacing w:after="0" w:line="17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 xml:space="preserve">Mr. Benson Bing Chung Tam </w:t>
      </w:r>
      <w:r>
        <w:rPr>
          <w:rFonts w:ascii="Arial" w:cs="Arial" w:eastAsia="Arial" w:hAnsi="Arial"/>
          <w:sz w:val="17"/>
          <w:szCs w:val="17"/>
          <w:color w:val="auto"/>
        </w:rPr>
        <w:t>will serve as our independent director immediately upon the effectiveness of our registration statement on Form F-1,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this prospectus is a part. Mr. Tam is a chartered accountant. He is the founder and chairman of Venturous Group, a global CEO network based in Beijing. From 2002 to February 2012, Mr. Tam was a partner and head of technology investments at Fidelity Growth Partners Asia (formerly named Fidelity Asia Ventures). Prior to joining Fidelity Growth Partners Asia, Mr. Tam was a partner of Electra Partners Asia from 1998 to 2002, and was the founding director of Hellman &amp; Friedman Asia from 1992 to 1998. Mr. Tam worked in M&amp;A corporate finance at S.G. Warburg from 1989 to 1992. Mr. Tam is currently a director of several privately held companies. Mr. Tam received his master’s degree in computer science from Oxford University in 1986 and his bachelor’s degree in civil engineering from Imperial College of London University in 1984.</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Dr. Dave Daqing Qi </w:t>
      </w:r>
      <w:r>
        <w:rPr>
          <w:rFonts w:ascii="Arial" w:cs="Arial" w:eastAsia="Arial" w:hAnsi="Arial"/>
          <w:sz w:val="17"/>
          <w:szCs w:val="17"/>
          <w:color w:val="auto"/>
        </w:rPr>
        <w:t>will serve as our independent director immediately upon the effectiveness of our registration statement on Form F-1, of which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is a part. Dr. Qi is a professor of accounting and the former associate dean of the Cheung Kong Graduate School of Business. He began teaching at the Cheung Kong Graduate School of Business in 2002 and was the founding director of the Executive MBA program. Prior to that, Dr. Qi was an associate professor at the School of Accounting of the Chinese University of Hong Kong. Dr. Qi also serves as director of the following public companies: Sohu.com (NASDAQ: SOHU), iKang Healthcare Group (NASDAQ: KANG), BONA Film Group Limited (NASDAQ: BONA) and Honghua Group Limited (Hong Kong Stock Exchange). He received his Ph.D. degree in accounting from the Eli Broad Graduate School of management of Michigan State University in 1996, MBA degree from the University of Hawaii at Manoa in 1992 and bachelor of science and bachelor of arts degrees from Fudan University in 1985 and 1987, respectively. Dr. Qi is currently a member of the American Accounting Association.</w:t>
      </w:r>
    </w:p>
    <w:p>
      <w:pPr>
        <w:spacing w:after="0" w:line="179"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i w:val="1"/>
          <w:iCs w:val="1"/>
          <w:color w:val="auto"/>
        </w:rPr>
        <w:t xml:space="preserve">Mr. Xiaoliang Lei </w:t>
      </w:r>
      <w:r>
        <w:rPr>
          <w:rFonts w:ascii="Arial" w:cs="Arial" w:eastAsia="Arial" w:hAnsi="Arial"/>
          <w:sz w:val="17"/>
          <w:szCs w:val="17"/>
          <w:color w:val="auto"/>
        </w:rPr>
        <w:t>is our co-founder and has been our co-president since June 2014. Mr. Lei is responsible for product development. Prior to co-founding our company, Mr. Lei was the product management staff then manager at NetEase, from 2008 to 2011. Mr. Lei was an editor in charge of content development and team management at 21CN Game Channel, a game information exchange platform in China from 2004 to 2008. Mr. Lei received his bachelor of science degree in software engineering from South China University of Technology in 2004.</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 xml:space="preserve">Mr. Jingping Zhang </w:t>
      </w:r>
      <w:r>
        <w:rPr>
          <w:rFonts w:ascii="Arial" w:cs="Arial" w:eastAsia="Arial" w:hAnsi="Arial"/>
          <w:sz w:val="17"/>
          <w:szCs w:val="17"/>
          <w:color w:val="auto"/>
        </w:rPr>
        <w:t>has been our co-president since March 2014. Prior to joining us, Mr. Zhang was a partner at Concord &amp; Partners, a PRC law firm,</w:t>
      </w:r>
      <w:r>
        <w:rPr>
          <w:rFonts w:ascii="Arial" w:cs="Arial" w:eastAsia="Arial" w:hAnsi="Arial"/>
          <w:sz w:val="17"/>
          <w:szCs w:val="17"/>
          <w:i w:val="1"/>
          <w:iCs w:val="1"/>
          <w:color w:val="auto"/>
        </w:rPr>
        <w:t xml:space="preserve"> </w:t>
      </w:r>
      <w:r>
        <w:rPr>
          <w:rFonts w:ascii="Arial" w:cs="Arial" w:eastAsia="Arial" w:hAnsi="Arial"/>
          <w:sz w:val="17"/>
          <w:szCs w:val="17"/>
          <w:color w:val="auto"/>
        </w:rPr>
        <w:t>from June 2012 to March 2014, and a lawyer at King &amp; Wood Mallesons from August 2008 to June 2012. Mr. Zhang had served as a legal counsel for a number of large companies and had participated in private equity fund formation and investments, M&amp;As, corporate restructuring, domestic and offshore initial public offerings, as well as outbound investments by Chinese companies. Mr. Zhang was a journalist, chief reporter, columnist and editor-in-chief at various media organizations, including Nanfang Media Group from August 2007 to August 2009, Economic Observer from August 2005 to August 2007 and Guangzhou Media Group from August 2003 to August 2005. Mr. Zhang received a Ph.D. from Soochow University Law School in July 2007 and a bachelor’s degree of media and mass communication from Anhui Normal University in July 1998.</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 xml:space="preserve">Mr. Zhiwei Li </w:t>
      </w:r>
      <w:r>
        <w:rPr>
          <w:rFonts w:ascii="Arial" w:cs="Arial" w:eastAsia="Arial" w:hAnsi="Arial"/>
          <w:sz w:val="18"/>
          <w:szCs w:val="18"/>
          <w:color w:val="auto"/>
        </w:rPr>
        <w:t>is our co-founder and has been our chief technology officer since our inception. Mr. Li is in charge of overseeing the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 of our company. From July 2009 to March 2011, Mr. Li was the technology director in the finance channel at NetEase. He received his bachelor of science degree in software engineering from South China University of Technology in 2008.</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Mr. Jonathan Xiaosong Zhang </w:t>
      </w:r>
      <w:r>
        <w:rPr>
          <w:rFonts w:ascii="Arial" w:cs="Arial" w:eastAsia="Arial" w:hAnsi="Arial"/>
          <w:sz w:val="17"/>
          <w:szCs w:val="17"/>
          <w:color w:val="auto"/>
        </w:rPr>
        <w:t>has served as our chief financial officer since May 2014. From July 2010 to April 2014, Mr. Zhang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of iSoftStone Holdings Limited (NYSE: ISS), and was the company’s independent director between February 2010 and July 2010. Prior to joining iSoftStone Holdings Limited, Mr. Zhang served as the chief financial officer of several companies, including BJB Career Education Company Limited from June 2009 to June 2010, and Vimicro International Corporation (NASDAQ: VIMC) from September 2004 to January 2007. From 2000 to 2004, Mr. Zhang worked as a manager and then a senior manager at the Beijing office of PricewaterhouseCoopers. From 1995 to 1999, Mr. Zhang was an auditor and then a senior auditor at the Los Angeles office of KPMG LLP. Mr. Zhang is also an independent director and the chairman of audit committee of Tarena International Inc. (NASDAQ: TEDU). Mr. Zhang received his master’s degree in accountancy from the University of Illinois in 1994, his master’s degree in meteorology from Saint Louis University in 1992, and his bachelor’s degree in meteorology from Peking University in 1986. Mr. Zhang is a Certified Public Accountant in the State of California.</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Mr. Li Wang </w:t>
      </w:r>
      <w:r>
        <w:rPr>
          <w:rFonts w:ascii="Arial" w:cs="Arial" w:eastAsia="Arial" w:hAnsi="Arial"/>
          <w:sz w:val="18"/>
          <w:szCs w:val="18"/>
          <w:color w:val="auto"/>
        </w:rPr>
        <w:t>has been our chief operation officer since June 2014. Mr. Wang joined the company as our operation director in July 2011.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Mr. Wang was the managing director of Laoluo English Training School, a start-up education service business from November 2008 to May 2011. He was the general administration staff at NEC China Co., Ltd. from April 2005 to April 2007. Mr. Wang received a bachelor’s degree in management from Beijing University of Aeronautics and Astronautics in China in 2004.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will consist of nine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in which he is materially interested provided (i) such director, if his interest in such contract or arrangement is material, has declared the nature of his interest at the earliest meeting of the board at which it is practicable for him to do so, either specifically or by way of a general notice and (ii)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spacing w:after="0" w:line="17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will establish three committees under the board of directors immediately upon the effectiveness of our registration statement on Form F-1, of which this prospectus is a part: an audit committee, a compensation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committee and a nominating and corporate governance committee. We have adopted a charter for each of the three committees. Each committee’s members and functions are described below.</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will consist of Benson Bing Chung Tam, Dr. Dave Daqing Qi and Yong Li. Mr. Tam will be the chairman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We have determined that Mr. Tam and Dr. Qi satisfy the “independence” requirements of the NASDAQ Stock Market and Rule 10A-3 under the Exchange Act. The audit committee will oversee our accounting and financial reporting processes and the audits of the financial statements of our company. The audit committee will be responsible for, among other things:</w:t>
      </w:r>
    </w:p>
    <w:p>
      <w:pPr>
        <w:spacing w:after="0" w:line="92" w:lineRule="exact"/>
        <w:rPr>
          <w:sz w:val="20"/>
          <w:szCs w:val="20"/>
          <w:color w:val="auto"/>
        </w:rPr>
      </w:pPr>
    </w:p>
    <w:p>
      <w:pPr>
        <w:ind w:left="900" w:right="4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appointing the independent auditors and pre-approving all auditing and non-auditing services permitted to be performed by the independent auditors;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Our compensation committee will consist of Yong Li, Benson Bing Chung Tam and Dr. Dave Daqing Qi. Mr. Li will be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our compensation committee. We have determined that Mr. Tam and Dr. Qi satisfy the “independence” requirements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94" w:lineRule="exact"/>
        <w:rPr>
          <w:sz w:val="20"/>
          <w:szCs w:val="20"/>
          <w:color w:val="auto"/>
        </w:rPr>
      </w:pPr>
    </w:p>
    <w:p>
      <w:pPr>
        <w:ind w:left="900" w:right="28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recommending to the board for determination with respect to the compensation of our non-employee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similar arrangements; and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i w:val="1"/>
          <w:iCs w:val="1"/>
          <w:color w:val="auto"/>
        </w:rPr>
        <w:t>Nominating and Corporate Governance Committee</w:t>
      </w:r>
      <w:r>
        <w:rPr>
          <w:rFonts w:ascii="Arial" w:cs="Arial" w:eastAsia="Arial" w:hAnsi="Arial"/>
          <w:sz w:val="17"/>
          <w:szCs w:val="17"/>
          <w:color w:val="auto"/>
        </w:rPr>
        <w:t>. Our nominating and corporate governance committee will consist of Yan Tang, Benson Bing</w:t>
      </w:r>
      <w:r>
        <w:rPr>
          <w:rFonts w:ascii="Arial" w:cs="Arial" w:eastAsia="Arial" w:hAnsi="Arial"/>
          <w:sz w:val="17"/>
          <w:szCs w:val="17"/>
          <w:i w:val="1"/>
          <w:iCs w:val="1"/>
          <w:color w:val="auto"/>
        </w:rPr>
        <w:t xml:space="preserve"> </w:t>
      </w:r>
      <w:r>
        <w:rPr>
          <w:rFonts w:ascii="Arial" w:cs="Arial" w:eastAsia="Arial" w:hAnsi="Arial"/>
          <w:sz w:val="17"/>
          <w:szCs w:val="17"/>
          <w:color w:val="auto"/>
        </w:rPr>
        <w:t>Chung Tam and Dr. Dave Daqing Qi. Mr. Tang will be the chairperson of our nominating and corporate governance committee. We have determined that Mr. Tam and Dr. Qi satisfy the “independence” requirements of the NASDAQ Stock Market.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78"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and diversity;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making recommendations on the frequency and structure of board meetings and monitoring the functioning of the committees of the board; and</w:t>
      </w:r>
    </w:p>
    <w:p>
      <w:pPr>
        <w:spacing w:after="0" w:line="153" w:lineRule="exact"/>
        <w:rPr>
          <w:rFonts w:ascii="Arial" w:cs="Arial" w:eastAsia="Arial" w:hAnsi="Arial"/>
          <w:sz w:val="16"/>
          <w:szCs w:val="16"/>
          <w:color w:val="auto"/>
        </w:rPr>
      </w:pPr>
    </w:p>
    <w:p>
      <w:pPr>
        <w:ind w:left="900" w:right="20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Under Cayman Islands law, our directors have a fiduciary duty to act honestly, in good faith and with a view to our best interests.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76"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officers are elected by and serve at the discretion of the board of directors. Our directors are not subject to a term of office and hold office until such time as they are removed from office by ordinary resolution of the shareholders or by the unanimous written resolution of all the shareholders. A director will be removed from office automatically if, among other things, the director (i) becomes bankrupt or makes any arrangement or composition with his creditors; or (ii) is found by our company to be or becomes of unsound mind.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w:t>
      </w:r>
    </w:p>
    <w:p>
      <w:pPr>
        <w:spacing w:after="0" w:line="2" w:lineRule="exact"/>
        <w:rPr>
          <w:sz w:val="20"/>
          <w:szCs w:val="20"/>
          <w:color w:val="auto"/>
        </w:rPr>
      </w:pPr>
    </w:p>
    <w:p>
      <w:pPr>
        <w:ind w:right="920" w:firstLine="8"/>
        <w:spacing w:after="0" w:line="261" w:lineRule="auto"/>
        <w:tabs>
          <w:tab w:leader="none" w:pos="3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directly or indirectly, to solicit the services of any of our employees who is employed by us on or after the date of the executive officer’s termination, or in the year preceding such termination, without our express consent.</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plan to enter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fiscal year ended December 31, 2013, we paid an aggregate of approximately US$0.3 million in cash to our executive officers, and we did not pay any compensation to our non-executive directors. We have not set aside or accrued any amount to provide pension, retirement or other similar benefits to our executive officers and directors. Our PRC subsidiary and consolidated affiliated entity and its subsidiary are required by law to make contributions equal to certain percentages of each employee’s salary for his or her pension insurance, medical insurance, unemployment insurance and other statutory benefits and a housing provident fund.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Plan</w:t>
      </w:r>
    </w:p>
    <w:p>
      <w:pPr>
        <w:spacing w:after="0" w:line="12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In November 2012, we adopted a share incentive plan, or the 2012 Plan, which was amended and restated in October 2013. The purpose of our 2012 Plan is to attract and retain the best available personnel, provide additional incentives to employees, directors, consultants and advisors and promote the success of our business. The maximum aggregate number of shares which may be issued pursuant to all awards under the 2012 Plan is 44,758,220 Class A ordinary shares. With the adoption of our 2014 Plan, we will no longer issue incentive shares under the 2012 Plan.</w:t>
      </w:r>
    </w:p>
    <w:p>
      <w:pPr>
        <w:spacing w:after="0" w:line="171"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As of the date of this prospectus, options to purchase 30,787,026 ordinary shares have been granted, 30,727,026 of which remained outstanding. Upon completion of this offering, an option to purchase our ordinary shares granted under the 2012 Plan prior to the offering will entitle the holder to purchase an equivalent number of Class A ordinary shares. The following paragraphs summarize the principal terms of the 2012 Plan.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Types of Awards</w:t>
      </w:r>
      <w:r>
        <w:rPr>
          <w:rFonts w:ascii="Arial" w:cs="Arial" w:eastAsia="Arial" w:hAnsi="Arial"/>
          <w:sz w:val="18"/>
          <w:szCs w:val="18"/>
          <w:color w:val="auto"/>
        </w:rPr>
        <w:t>. The 2012 Plan permits the grant of options, restricted shares or unrestricted ordinary shares.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one or more committees consisting solely of directors designated by our board will administer the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The committee or the full board of directors, as applicable, will determine the participants to receive awards, the type and number of awards to be granted to each participant, and the terms and conditions of each grant. The board or such committee(s) may also delegate, to the extent permitted by applicable laws, to one or more officers of our company, its powers under the 2012 Plan to determine the officers and employees who will receive awards, the number of such awards, and the terms and conditions thereof. Subject to the limitations under the 2012 Plan, the plan administrator from time to time may authorize, generally or in specific cases only, for the benefit of any participant, any adjustment in exercise or purchase price, vesting schedule, and regranting of awards by waiver or by other legally valid means.</w:t>
      </w:r>
    </w:p>
    <w:p>
      <w:pPr>
        <w:spacing w:after="0" w:line="18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Award Agreement. </w:t>
      </w:r>
      <w:r>
        <w:rPr>
          <w:rFonts w:ascii="Arial" w:cs="Arial" w:eastAsia="Arial" w:hAnsi="Arial"/>
          <w:sz w:val="17"/>
          <w:szCs w:val="17"/>
          <w:color w:val="auto"/>
        </w:rPr>
        <w:t>Awards granted under the 2012 Plan are evidenced by an award agreement that sets forth terms, provisions and restrictions for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which may include the type of award, the term of the award, vesting provisions, the exercise or purchase price, and the provisions applicable in the event that the recipient’s employment or service terminates. Under the plan, each recipient of option award shall duly sign a power of attorney delegating the voting rights and signing rights of ordinary shares issued upon the exercise of the option award.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officers, directors, employees, consultants and advisors of our company.</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Acceleration of Awards upon Change in Control. </w:t>
      </w:r>
      <w:r>
        <w:rPr>
          <w:rFonts w:ascii="Arial" w:cs="Arial" w:eastAsia="Arial" w:hAnsi="Arial"/>
          <w:sz w:val="18"/>
          <w:szCs w:val="18"/>
          <w:color w:val="auto"/>
        </w:rPr>
        <w:t>If a change in control of our company occurs, the plan administrator may, in its sole discretion,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the awards so that they may immediately vest without any forfeiture restrictions, unless the plan administrator has otherwise provided for substitution, assumption, exchange or other continuation or settlement of the award.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Exercise of Options. </w:t>
      </w:r>
      <w:r>
        <w:rPr>
          <w:rFonts w:ascii="Arial" w:cs="Arial" w:eastAsia="Arial" w:hAnsi="Arial"/>
          <w:sz w:val="17"/>
          <w:szCs w:val="17"/>
          <w:color w:val="auto"/>
        </w:rPr>
        <w:t>The plan administrator determines the exercise price for each option award, which is stated in the award agreement and shall in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case be lower than the par value of our ordinary shares. Once vested, an option award will remain exercisable until the date of expiration or termination, unless otherwise provided by the plan administrator. However, each option award shall expire no more than 10 years after its date of grant.</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Vesting and Purchase of Restricted Shares. </w:t>
      </w:r>
      <w:r>
        <w:rPr>
          <w:rFonts w:ascii="Arial" w:cs="Arial" w:eastAsia="Arial" w:hAnsi="Arial"/>
          <w:sz w:val="18"/>
          <w:szCs w:val="18"/>
          <w:color w:val="auto"/>
        </w:rPr>
        <w:t>The plan administrator determines the purchase price for each restricted share award, which is stated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agreement and shall in no case be lower than the greater of the par value of our ordinary shares or a certain percentage of the fair market value of our ordinary shares on the date of grant. Restricted share awards that remain unvested upon termination of employment as of a date specified in the award agreement shall be repurchased by our company at the lower of (i) the fair market value of the restricted shares at the time of the termination of employment or (ii) the original purchase price of the restricted shares, without interest. However, each restricted share award shall either vest or be repurchased by our company not more than 10 years after the date of grant.</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save for certain exceptions including transfers to our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transfers by gift to an affiliate or an immediately family member, transfer by will or the laws of descent and distribution, and other exceptions provided for by the plan administrator.</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b w:val="1"/>
          <w:bCs w:val="1"/>
          <w:i w:val="1"/>
          <w:iCs w:val="1"/>
          <w:color w:val="auto"/>
        </w:rPr>
        <w:t xml:space="preserve">Amendment and Termination of the 2012 Plan. </w:t>
      </w:r>
      <w:r>
        <w:rPr>
          <w:rFonts w:ascii="Arial" w:cs="Arial" w:eastAsia="Arial" w:hAnsi="Arial"/>
          <w:sz w:val="16"/>
          <w:szCs w:val="16"/>
          <w:color w:val="auto"/>
        </w:rPr>
        <w:t>Subject to any shareholder approval, our board of directors may, at any time, terminate or, from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time, amend, modify or suspend this 2012 Plan. Unless terminated earlier, the 2012 Plan will terminate at the close of business on October 31, 2022.</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following table summarizes, as of the date of this prospectus, the options granted under the 2012 Plan to certain officers, directors, employees and consultants. As of the date of this prospectus, none of the awards granted was exercised after the relevant grant dates. As of the date of this prospectus, options to purchase 60,000 ordinary shares have been forfeited after the relevant grant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Class A</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Ordinary Shares</w:t>
            </w:r>
          </w:p>
        </w:tc>
        <w:tc>
          <w:tcPr>
            <w:tcW w:w="520" w:type="dxa"/>
            <w:vAlign w:val="bottom"/>
          </w:tcPr>
          <w:p>
            <w:pPr>
              <w:spacing w:after="0"/>
              <w:rPr>
                <w:sz w:val="12"/>
                <w:szCs w:val="12"/>
                <w:color w:val="auto"/>
              </w:rPr>
            </w:pP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Exercise Price</w:t>
            </w: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5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98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Date of Grant</w:t>
            </w: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Awarded</w:t>
            </w:r>
          </w:p>
        </w:tc>
        <w:tc>
          <w:tcPr>
            <w:tcW w:w="5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(US$/Share)</w:t>
            </w:r>
          </w:p>
        </w:tc>
        <w:tc>
          <w:tcPr>
            <w:tcW w:w="198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Yan</w:t>
            </w: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0.1404</w:t>
            </w:r>
          </w:p>
        </w:tc>
        <w:tc>
          <w:tcPr>
            <w:tcW w:w="5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October 10, 2013</w:t>
            </w:r>
          </w:p>
        </w:tc>
        <w:tc>
          <w:tcPr>
            <w:tcW w:w="5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October 9, 2023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0.0002</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October 29, 2014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28, 2024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Sichuan Zhang</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0.0327</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November 1, 2012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0.1404</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October 10, 2013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9, 2023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Ying Zhang</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0.1404</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October 10, 2013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9, 2023</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Ho Kee Harry Man</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0.1404</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October 10, 2013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9, 2023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Xiaoliang Lei</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0.1404</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October 10, 2013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9, 2023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0.0002</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October 29, 2014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28, 2024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Jingping Zhang</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0.1404</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March 1, 2014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February 28, 2024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0.0002</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October 29, 2014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28, 2024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Zhiwei Li</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0.1404</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October 10, 2013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9, 2023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0.0002</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October 29, 2014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28, 2024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Xiaosong Zhang</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0.1404</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March 1, 2014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February 28, 2024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0.0002</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October 29, 2014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28, 2024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 Wang</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0.0327</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November 1, 2012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0.1404</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October 10, 2013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9, 2023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0.0002</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October 29, 2014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28, 2024</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Other individuals as a group</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7,850,000</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0.0327</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November 1, 2012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31, 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4,880,000</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0.1404</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October 10, 2013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9, 2023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544,866</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0.1404</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March 1, 2014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February 28,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2,583,500</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0.0002</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October 29, 2014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28, 2024</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30,787,026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 Aggregate number of shares represented by all grants of options to the person account for less than 1% of our total outstanding ordinary shares on an as-converted basis.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Plan</w:t>
      </w:r>
    </w:p>
    <w:p>
      <w:pPr>
        <w:spacing w:after="0" w:line="121"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adopted the 2014 share incentive plan, or the 2014 Plan, in November 2014. The maximum aggregate number of shares which may be issued pursuant to all awards under the 2014 Plan is initially 14,031,194 Class A ordinary shares. Beginning in 2017, the number of shares reserved for future issuances under the 2014 Plan will be increased by a number equal to 1.5% of the total number of outstanding shares on the last day of the immediately preceding calendar year, or such lesser number of Class A ordinary shares as determined by our board of directors, on the first day of each calendar year during the term of the 2014 Plan. As of the date of this prospectus, no share-based award has been granted under our 2014 Plan. The following paragraphs summarize the terms of the 2014 Plan.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2014 Plan permits the awards of options, restricted shares and restricted share units.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or a committee of one or more members of our board duly authorized for the purpose of the 2014 Plan can act as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Options, restricted shares or restricted share units granted under the 2014 Plan are evidenced by an award agreement that sets forth</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conditions and limitations for each grant.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our employees, directors, consultants, or other individuals as determined, authorized and approved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However, we may grant options that are intended to qualify as incentive share options only to our employees and employees of our parent companies and subsidiaries.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Acceleration of Awards upon Change in Control. </w:t>
      </w:r>
      <w:r>
        <w:rPr>
          <w:rFonts w:ascii="Arial" w:cs="Arial" w:eastAsia="Arial" w:hAnsi="Arial"/>
          <w:sz w:val="18"/>
          <w:szCs w:val="18"/>
          <w:color w:val="auto"/>
        </w:rPr>
        <w:t>If a change in control, liquidation or dissolution of our company occurs, the plan administrator may, in</w:t>
      </w:r>
      <w:r>
        <w:rPr>
          <w:rFonts w:ascii="Arial" w:cs="Arial" w:eastAsia="Arial" w:hAnsi="Arial"/>
          <w:sz w:val="18"/>
          <w:szCs w:val="18"/>
          <w:i w:val="1"/>
          <w:iCs w:val="1"/>
          <w:color w:val="auto"/>
        </w:rPr>
        <w:t xml:space="preserve"> </w:t>
      </w:r>
      <w:r>
        <w:rPr>
          <w:rFonts w:ascii="Arial" w:cs="Arial" w:eastAsia="Arial" w:hAnsi="Arial"/>
          <w:sz w:val="18"/>
          <w:szCs w:val="18"/>
          <w:color w:val="auto"/>
        </w:rPr>
        <w:t>its sole discretion, provide for (i) all awards outstanding to terminate at a specific time in the future and give each participant the right to exercise the vested portion of such awards during a specific period of time, or (ii) the purchase of any award for an amount of cash equal to the amount that could have been attained upon the exercise of such award, or (iii) the replacement of such award with other rights or property selected by the plan administrator in its sole discretion, or (iv) payment of award in cash based on the value of Class A ordinary shares on the date of the change-in-control transaction plus reasonable interest.</w:t>
      </w:r>
    </w:p>
    <w:p>
      <w:pPr>
        <w:spacing w:after="0" w:line="193"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i w:val="1"/>
          <w:iCs w:val="1"/>
          <w:color w:val="auto"/>
        </w:rPr>
        <w:t xml:space="preserve">Exercise of Options. </w:t>
      </w:r>
      <w:r>
        <w:rPr>
          <w:rFonts w:ascii="Arial" w:cs="Arial" w:eastAsia="Arial" w:hAnsi="Arial"/>
          <w:sz w:val="17"/>
          <w:szCs w:val="17"/>
          <w:color w:val="auto"/>
        </w:rPr>
        <w:t>The plan administrator determines the exercise price for each award, which is stated in the award agreement. The vested portion of</w:t>
      </w:r>
      <w:r>
        <w:rPr>
          <w:rFonts w:ascii="Arial" w:cs="Arial" w:eastAsia="Arial" w:hAnsi="Arial"/>
          <w:sz w:val="17"/>
          <w:szCs w:val="17"/>
          <w:i w:val="1"/>
          <w:iCs w:val="1"/>
          <w:color w:val="auto"/>
        </w:rPr>
        <w:t xml:space="preserve"> </w:t>
      </w:r>
      <w:r>
        <w:rPr>
          <w:rFonts w:ascii="Arial" w:cs="Arial" w:eastAsia="Arial" w:hAnsi="Arial"/>
          <w:sz w:val="17"/>
          <w:szCs w:val="17"/>
          <w:color w:val="auto"/>
        </w:rPr>
        <w:t>option will expire if not exercised prior to the tenth anniversary after the date of a grant, unless extended by the plan administrator.</w:t>
      </w:r>
    </w:p>
    <w:p>
      <w:pPr>
        <w:spacing w:after="0" w:line="147" w:lineRule="exact"/>
        <w:rPr>
          <w:sz w:val="20"/>
          <w:szCs w:val="20"/>
          <w:color w:val="auto"/>
        </w:rPr>
      </w:pPr>
    </w:p>
    <w:p>
      <w:pPr>
        <w:ind w:right="500" w:firstLine="456"/>
        <w:spacing w:after="0" w:line="312" w:lineRule="auto"/>
        <w:rPr>
          <w:sz w:val="20"/>
          <w:szCs w:val="20"/>
          <w:color w:val="auto"/>
        </w:rPr>
      </w:pPr>
      <w:r>
        <w:rPr>
          <w:rFonts w:ascii="Arial" w:cs="Arial" w:eastAsia="Arial" w:hAnsi="Arial"/>
          <w:sz w:val="16"/>
          <w:szCs w:val="16"/>
          <w:i w:val="1"/>
          <w:iCs w:val="1"/>
          <w:color w:val="auto"/>
        </w:rPr>
        <w:t xml:space="preserve">Exercise Price of Options. </w:t>
      </w:r>
      <w:r>
        <w:rPr>
          <w:rFonts w:ascii="Arial" w:cs="Arial" w:eastAsia="Arial" w:hAnsi="Arial"/>
          <w:sz w:val="16"/>
          <w:szCs w:val="16"/>
          <w:color w:val="auto"/>
        </w:rPr>
        <w:t>The exercise price in respect of any option shall be determined by the plan administrator and set forth in the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which may be a fixed or variable price related to the fair market value of the shares. The exercise price per share subject to an option may be amended or adjusted in the absolute discretion of the plan administrator, the determination of which shall be final, binding and conclusive.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In general, the plan administrator determines the vesting schedule, which is set forth in the award agreement.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 except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by the plan administrator.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Unless terminated earlier, the 2014 Plan will terminate automatically in 2024.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the date of this prospectus by:</w:t>
      </w:r>
    </w:p>
    <w:p>
      <w:pPr>
        <w:spacing w:after="0" w:line="76"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principal shareholders, including all shareholders who own beneficially more than 5% of our total outstanding shares.</w:t>
      </w:r>
    </w:p>
    <w:p>
      <w:pPr>
        <w:spacing w:after="0" w:line="34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color w:val="auto"/>
        </w:rPr>
        <w:t>The calculations in the table below assume the number of ordinary shares that will be outstanding immediately after this offering is 276,069,740 Class A ordinary shares and 96,886,370 Class B ordinary shares, which is based on (i) 131,348,411 ordinary shares outstanding as of the date of this prospectus, of which the 96,886,370 ordinary shares held by Gallant Future Holdings Limited, a company 100% beneficially owned by Yan Tang, our co-founder, chairman and chief executive officer, will be re-designated as Class B ordinary shares, and the remaining will be re-designated as Class A ordinary shares;</w:t>
      </w:r>
    </w:p>
    <w:p>
      <w:pPr>
        <w:spacing w:after="0" w:line="2"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200,718,811 Class A ordinary shares into which all of our outstanding preferred shares will automatically convert upon completion of this offering;</w:t>
      </w:r>
    </w:p>
    <w:p>
      <w:pPr>
        <w:spacing w:after="0" w:line="20" w:lineRule="exact"/>
        <w:rPr>
          <w:rFonts w:ascii="Arial" w:cs="Arial" w:eastAsia="Arial" w:hAnsi="Arial"/>
          <w:sz w:val="17"/>
          <w:szCs w:val="17"/>
          <w:color w:val="auto"/>
        </w:rPr>
      </w:pPr>
    </w:p>
    <w:p>
      <w:pPr>
        <w:ind w:firstLine="8"/>
        <w:spacing w:after="0" w:line="273" w:lineRule="auto"/>
        <w:tabs>
          <w:tab w:leader="none" w:pos="315" w:val="left"/>
        </w:tabs>
        <w:numPr>
          <w:ilvl w:val="0"/>
          <w:numId w:val="60"/>
        </w:numPr>
        <w:rPr>
          <w:rFonts w:ascii="Arial" w:cs="Arial" w:eastAsia="Arial" w:hAnsi="Arial"/>
          <w:sz w:val="17"/>
          <w:szCs w:val="17"/>
          <w:color w:val="auto"/>
        </w:rPr>
      </w:pPr>
      <w:r>
        <w:rPr>
          <w:rFonts w:ascii="Arial" w:cs="Arial" w:eastAsia="Arial" w:hAnsi="Arial"/>
          <w:sz w:val="17"/>
          <w:szCs w:val="17"/>
          <w:color w:val="auto"/>
        </w:rPr>
        <w:t>32,000,000 Class A ordinary shares in the form of ADSs issued in connection with this offering, assuming the underwriters do not exercise their option to purchase additional ADSs and (iv) 8,888,888 Class A ordinary shares issued and sold through the Concurrent Private Placement, calculated based on the midpoint of the estimated offering price range shown on the front cover page of this prospectus, and excludes Class A ordinary shares issuable upon the exercise of outstanding share options and Class A ordinary shares reserved for issuance under our 2012 Plan and 2014 Plan.</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8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w w:val="95"/>
              </w:rPr>
              <w:t>Ordinary Shares</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gridSpan w:val="3"/>
          </w:tcPr>
          <w:p>
            <w:pPr>
              <w:jc w:val="center"/>
              <w:ind w:left="253"/>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20" w:type="dxa"/>
            <w:vAlign w:val="bottom"/>
            <w:gridSpan w:val="7"/>
            <w:vMerge w:val="restart"/>
          </w:tcPr>
          <w:p>
            <w:pPr>
              <w:jc w:val="right"/>
              <w:ind w:right="573"/>
              <w:spacing w:after="0"/>
              <w:rPr>
                <w:sz w:val="20"/>
                <w:szCs w:val="20"/>
                <w:color w:val="auto"/>
              </w:rPr>
            </w:pPr>
            <w:r>
              <w:rPr>
                <w:rFonts w:ascii="Arial" w:cs="Arial" w:eastAsia="Arial" w:hAnsi="Arial"/>
                <w:sz w:val="14"/>
                <w:szCs w:val="14"/>
                <w:b w:val="1"/>
                <w:bCs w:val="1"/>
                <w:color w:val="auto"/>
              </w:rPr>
              <w:t>Ordinary Shares Beneficially Owned After This Offering</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Prior to This Offering</w:t>
            </w:r>
          </w:p>
        </w:tc>
        <w:tc>
          <w:tcPr>
            <w:tcW w:w="380" w:type="dxa"/>
            <w:vAlign w:val="bottom"/>
          </w:tcPr>
          <w:p>
            <w:pPr>
              <w:spacing w:after="0"/>
              <w:rPr>
                <w:sz w:val="14"/>
                <w:szCs w:val="14"/>
                <w:color w:val="auto"/>
              </w:rPr>
            </w:pPr>
          </w:p>
        </w:tc>
        <w:tc>
          <w:tcPr>
            <w:tcW w:w="4820" w:type="dxa"/>
            <w:vAlign w:val="bottom"/>
            <w:tcBorders>
              <w:bottom w:val="single" w:sz="8" w:color="auto"/>
            </w:tcBorders>
            <w:gridSpan w:val="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Class A</w:t>
            </w: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Class B</w:t>
            </w: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total ordinary</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shares on an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7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ordinary</w:t>
            </w: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ordinary</w:t>
            </w: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as-converted</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voting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shares</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shares</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basis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power</w:t>
            </w:r>
            <w:r>
              <w:rPr>
                <w:rFonts w:ascii="Arial" w:cs="Arial" w:eastAsia="Arial" w:hAnsi="Arial"/>
                <w:sz w:val="8"/>
                <w:szCs w:val="8"/>
                <w:b w:val="1"/>
                <w:bCs w:val="1"/>
                <w:color w:val="auto"/>
                <w:w w:val="95"/>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Yan Tang</w:t>
            </w:r>
            <w:r>
              <w:rPr>
                <w:rFonts w:ascii="Arial" w:cs="Arial" w:eastAsia="Arial" w:hAnsi="Arial"/>
                <w:sz w:val="15"/>
                <w:szCs w:val="15"/>
                <w:color w:val="auto"/>
              </w:rPr>
              <w:t>(1)</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133,110,911</w:t>
            </w:r>
          </w:p>
        </w:tc>
        <w:tc>
          <w:tcPr>
            <w:tcW w:w="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39.9</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96,886,370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Yong Li</w:t>
            </w:r>
            <w:r>
              <w:rPr>
                <w:rFonts w:ascii="Arial" w:cs="Arial" w:eastAsia="Arial" w:hAnsi="Arial"/>
                <w:sz w:val="15"/>
                <w:szCs w:val="15"/>
                <w:color w:val="auto"/>
              </w:rPr>
              <w:t>(2)</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16,846,899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16,846,899</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Sichuan Zhang</w:t>
            </w:r>
            <w:r>
              <w:rPr>
                <w:rFonts w:ascii="Arial" w:cs="Arial" w:eastAsia="Arial" w:hAnsi="Arial"/>
                <w:sz w:val="15"/>
                <w:szCs w:val="15"/>
                <w:color w:val="auto"/>
              </w:rPr>
              <w:t>(3)</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98,648,870</w:t>
            </w:r>
          </w:p>
        </w:tc>
        <w:tc>
          <w:tcPr>
            <w:tcW w:w="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29.6</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98,648,870</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David Ying Zhang</w:t>
            </w:r>
            <w:r>
              <w:rPr>
                <w:rFonts w:ascii="Arial" w:cs="Arial" w:eastAsia="Arial" w:hAnsi="Arial"/>
                <w:sz w:val="15"/>
                <w:szCs w:val="15"/>
                <w:color w:val="auto"/>
              </w:rPr>
              <w:t>(4)</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66,174,022</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19.9</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66,174,022</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Hongping Zhang</w:t>
            </w:r>
            <w:r>
              <w:rPr>
                <w:rFonts w:ascii="Arial" w:cs="Arial" w:eastAsia="Arial" w:hAnsi="Arial"/>
                <w:sz w:val="15"/>
                <w:szCs w:val="15"/>
                <w:color w:val="auto"/>
              </w:rPr>
              <w:t>(5)</w:t>
            </w:r>
          </w:p>
        </w:tc>
        <w:tc>
          <w:tcPr>
            <w:tcW w:w="15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Yongming Wu</w:t>
            </w:r>
            <w:r>
              <w:rPr>
                <w:rFonts w:ascii="Arial" w:cs="Arial" w:eastAsia="Arial" w:hAnsi="Arial"/>
                <w:sz w:val="15"/>
                <w:szCs w:val="15"/>
                <w:color w:val="auto"/>
              </w:rPr>
              <w:t>(6)</w:t>
            </w:r>
          </w:p>
        </w:tc>
        <w:tc>
          <w:tcPr>
            <w:tcW w:w="15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Ho Kee Harry Man</w:t>
            </w:r>
            <w:r>
              <w:rPr>
                <w:rFonts w:ascii="Arial" w:cs="Arial" w:eastAsia="Arial" w:hAnsi="Arial"/>
                <w:sz w:val="15"/>
                <w:szCs w:val="15"/>
                <w:color w:val="auto"/>
              </w:rPr>
              <w:t>(7)</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Neil Nanpeng Shen</w:t>
            </w:r>
            <w:r>
              <w:rPr>
                <w:rFonts w:ascii="Arial" w:cs="Arial" w:eastAsia="Arial" w:hAnsi="Arial"/>
                <w:sz w:val="15"/>
                <w:szCs w:val="15"/>
                <w:color w:val="auto"/>
              </w:rPr>
              <w:t>(8)</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18,570,966</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18,570,966</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Feng Yu</w:t>
            </w:r>
            <w:r>
              <w:rPr>
                <w:rFonts w:ascii="Arial" w:cs="Arial" w:eastAsia="Arial" w:hAnsi="Arial"/>
                <w:sz w:val="15"/>
                <w:szCs w:val="15"/>
                <w:color w:val="auto"/>
              </w:rPr>
              <w:t>(9)</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18,570,966</w:t>
            </w:r>
          </w:p>
        </w:tc>
        <w:tc>
          <w:tcPr>
            <w:tcW w:w="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18,570,966</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Benson Bing Chung Tam***</w:t>
            </w:r>
          </w:p>
        </w:tc>
        <w:tc>
          <w:tcPr>
            <w:tcW w:w="15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Dave Daqing Qi***</w:t>
            </w:r>
          </w:p>
        </w:tc>
        <w:tc>
          <w:tcPr>
            <w:tcW w:w="15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Xiaoliang Lei</w:t>
            </w:r>
            <w:r>
              <w:rPr>
                <w:rFonts w:ascii="Arial" w:cs="Arial" w:eastAsia="Arial" w:hAnsi="Arial"/>
                <w:sz w:val="15"/>
                <w:szCs w:val="15"/>
                <w:color w:val="auto"/>
              </w:rPr>
              <w:t>(10)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9,743,366</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9,743,366</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Jingping Zhang</w:t>
            </w:r>
          </w:p>
        </w:tc>
        <w:tc>
          <w:tcPr>
            <w:tcW w:w="15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Zhiwei Li</w:t>
            </w:r>
            <w:r>
              <w:rPr>
                <w:rFonts w:ascii="Arial" w:cs="Arial" w:eastAsia="Arial" w:hAnsi="Arial"/>
                <w:sz w:val="15"/>
                <w:szCs w:val="15"/>
                <w:color w:val="auto"/>
              </w:rPr>
              <w:t>(11)</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8,184,276</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8,184,276</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Jonathan Xiaosong Zhang</w:t>
            </w:r>
          </w:p>
        </w:tc>
        <w:tc>
          <w:tcPr>
            <w:tcW w:w="15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 Wang</w:t>
            </w:r>
            <w:r>
              <w:rPr>
                <w:rFonts w:ascii="Arial" w:cs="Arial" w:eastAsia="Arial" w:hAnsi="Arial"/>
                <w:sz w:val="15"/>
                <w:szCs w:val="15"/>
                <w:color w:val="auto"/>
              </w:rPr>
              <w:t>(12)</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All directors and executive officers as a group</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237,986,240</w:t>
            </w:r>
          </w:p>
        </w:tc>
        <w:tc>
          <w:tcPr>
            <w:tcW w:w="60" w:type="dxa"/>
            <w:vAlign w:val="bottom"/>
          </w:tcPr>
          <w:p>
            <w:pPr>
              <w:spacing w:after="0"/>
              <w:rPr>
                <w:sz w:val="20"/>
                <w:szCs w:val="20"/>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70.9</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141,099,870</w:t>
            </w:r>
          </w:p>
        </w:tc>
        <w:tc>
          <w:tcPr>
            <w:tcW w:w="6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96,886,370</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Gallant Future Holdings Limited</w:t>
            </w:r>
            <w:r>
              <w:rPr>
                <w:rFonts w:ascii="Arial" w:cs="Arial" w:eastAsia="Arial" w:hAnsi="Arial"/>
                <w:sz w:val="15"/>
                <w:szCs w:val="15"/>
                <w:color w:val="auto"/>
              </w:rPr>
              <w:t>(13)</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96,886,370</w:t>
            </w:r>
          </w:p>
        </w:tc>
        <w:tc>
          <w:tcPr>
            <w:tcW w:w="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29.2</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96,886,370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Alibaba Investment Limited</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68,861,733</w:t>
            </w:r>
            <w:r>
              <w:rPr>
                <w:rFonts w:ascii="Arial" w:cs="Arial" w:eastAsia="Arial" w:hAnsi="Arial"/>
                <w:sz w:val="15"/>
                <w:szCs w:val="15"/>
                <w:color w:val="auto"/>
              </w:rPr>
              <w:t>(14)</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20.7</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76,269,140</w:t>
            </w:r>
            <w:r>
              <w:rPr>
                <w:rFonts w:ascii="Arial" w:cs="Arial" w:eastAsia="Arial" w:hAnsi="Arial"/>
                <w:sz w:val="15"/>
                <w:szCs w:val="15"/>
                <w:color w:val="auto"/>
              </w:rPr>
              <w:t>(15)</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Matrix Partners China II Hong Kong Limited</w:t>
            </w:r>
            <w:r>
              <w:rPr>
                <w:rFonts w:ascii="Arial" w:cs="Arial" w:eastAsia="Arial" w:hAnsi="Arial"/>
                <w:sz w:val="15"/>
                <w:szCs w:val="15"/>
                <w:color w:val="auto"/>
              </w:rPr>
              <w:t>(16)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65,970,897</w:t>
            </w:r>
          </w:p>
        </w:tc>
        <w:tc>
          <w:tcPr>
            <w:tcW w:w="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19.9</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65,970,897</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17.7</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Rich Moon Limited</w:t>
            </w:r>
            <w:r>
              <w:rPr>
                <w:rFonts w:ascii="Arial" w:cs="Arial" w:eastAsia="Arial" w:hAnsi="Arial"/>
                <w:sz w:val="15"/>
                <w:szCs w:val="15"/>
                <w:color w:val="auto"/>
              </w:rPr>
              <w:t>(17)</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18,570,966</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18,570,966</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Sequoia Funds</w:t>
            </w:r>
            <w:r>
              <w:rPr>
                <w:rFonts w:ascii="Arial" w:cs="Arial" w:eastAsia="Arial" w:hAnsi="Arial"/>
                <w:sz w:val="15"/>
                <w:szCs w:val="15"/>
                <w:color w:val="auto"/>
              </w:rPr>
              <w:t>(18)</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18,570,966</w:t>
            </w:r>
          </w:p>
        </w:tc>
        <w:tc>
          <w:tcPr>
            <w:tcW w:w="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18,570,966</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Joyous Harvest Holdings Limited</w:t>
            </w:r>
            <w:r>
              <w:rPr>
                <w:rFonts w:ascii="Arial" w:cs="Arial" w:eastAsia="Arial" w:hAnsi="Arial"/>
                <w:sz w:val="15"/>
                <w:szCs w:val="15"/>
                <w:color w:val="auto"/>
              </w:rPr>
              <w:t>(19)</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16,846,899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16,846,899</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ind w:left="340" w:hanging="332"/>
        <w:spacing w:after="0" w:line="22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Less than 1% of our total outstanding shares on an as-converted basis.</w:t>
      </w:r>
    </w:p>
    <w:p>
      <w:pPr>
        <w:ind w:left="340" w:right="120" w:hanging="332"/>
        <w:spacing w:after="0" w:line="22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Except for Messrs. David Ying Zhang, Hongping Zhang, Yongming Wu, Ho Kee Harry Man, Neil Nanpeng Shen and Feng Yu, the business address for our executive officers and directors is 20th Floor, Block B, Tower 2, Wangjing SOHO, No.1 Futongdong Street, Chaoyang District, Beijing 100102, People’s Republic of China.</w:t>
      </w:r>
    </w:p>
    <w:p>
      <w:pPr>
        <w:ind w:left="340" w:hanging="332"/>
        <w:spacing w:after="0" w:line="22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Each of Mr. Tam and Dr. Qi has accepted appointment as our independent director, effective upon the effectiveness of the registration statement of which this prospectus is a part.</w:t>
      </w:r>
    </w:p>
    <w:p>
      <w:pPr>
        <w:ind w:left="340" w:hanging="332"/>
        <w:spacing w:after="0"/>
        <w:tabs>
          <w:tab w:leader="none" w:pos="340" w:val="left"/>
        </w:tabs>
        <w:numPr>
          <w:ilvl w:val="0"/>
          <w:numId w:val="64"/>
        </w:numPr>
        <w:rPr>
          <w:rFonts w:ascii="Arial" w:cs="Arial" w:eastAsia="Arial" w:hAnsi="Arial"/>
          <w:sz w:val="8"/>
          <w:szCs w:val="8"/>
          <w:b w:val="1"/>
          <w:bCs w:val="1"/>
          <w:color w:val="auto"/>
        </w:rPr>
      </w:pPr>
      <w:r>
        <w:rPr>
          <w:rFonts w:ascii="Arial" w:cs="Arial" w:eastAsia="Arial" w:hAnsi="Arial"/>
          <w:sz w:val="13"/>
          <w:szCs w:val="13"/>
          <w:color w:val="auto"/>
        </w:rPr>
        <w:t>For each person and group included in this column, percentage ownership is calculated by dividing the number of shares beneficially owned by such person or group by the sum of the total</w:t>
      </w:r>
    </w:p>
    <w:p>
      <w:pPr>
        <w:ind w:left="340" w:right="180"/>
        <w:spacing w:after="0" w:line="221" w:lineRule="auto"/>
        <w:rPr>
          <w:sz w:val="20"/>
          <w:szCs w:val="20"/>
          <w:color w:val="auto"/>
        </w:rPr>
      </w:pPr>
      <w:r>
        <w:rPr>
          <w:rFonts w:ascii="Arial" w:cs="Arial" w:eastAsia="Arial" w:hAnsi="Arial"/>
          <w:sz w:val="14"/>
          <w:szCs w:val="14"/>
          <w:color w:val="auto"/>
        </w:rPr>
        <w:t>number of shares outstanding, which is 332,067,222 ordinary shares on an as-converted basis as of the date of this prospectus, and the number of shares such person or group has the right to acquire upon exercise of option, warrant or other right within 60 days after the date of this prospectus.</w:t>
      </w:r>
    </w:p>
    <w:p>
      <w:pPr>
        <w:spacing w:after="0" w:line="1" w:lineRule="exact"/>
        <w:rPr>
          <w:sz w:val="20"/>
          <w:szCs w:val="20"/>
          <w:color w:val="auto"/>
        </w:rPr>
      </w:pPr>
    </w:p>
    <w:p>
      <w:pPr>
        <w:ind w:left="340" w:right="20" w:hanging="332"/>
        <w:spacing w:after="0" w:line="221" w:lineRule="auto"/>
        <w:tabs>
          <w:tab w:leader="none" w:pos="340" w:val="left"/>
        </w:tabs>
        <w:numPr>
          <w:ilvl w:val="0"/>
          <w:numId w:val="65"/>
        </w:numPr>
        <w:rPr>
          <w:rFonts w:ascii="Arial" w:cs="Arial" w:eastAsia="Arial" w:hAnsi="Arial"/>
          <w:sz w:val="9"/>
          <w:szCs w:val="9"/>
          <w:color w:val="auto"/>
        </w:rPr>
      </w:pPr>
      <w:r>
        <w:rPr>
          <w:rFonts w:ascii="Arial" w:cs="Arial" w:eastAsia="Arial" w:hAnsi="Arial"/>
          <w:sz w:val="14"/>
          <w:szCs w:val="14"/>
          <w:color w:val="auto"/>
        </w:rPr>
        <w:t>For each person and group included in this column, percentage ownership is calculated by dividing the number of Class A ordinary shares to be converted and sold by the selling shareholder at the time of this offering, by the number of ordinary shares held by the person or group prior to this offering on an as-converted basis.</w:t>
      </w:r>
    </w:p>
    <w:p>
      <w:pPr>
        <w:spacing w:after="0" w:line="1" w:lineRule="exact"/>
        <w:rPr>
          <w:sz w:val="20"/>
          <w:szCs w:val="20"/>
          <w:color w:val="auto"/>
        </w:rPr>
      </w:pPr>
    </w:p>
    <w:p>
      <w:pPr>
        <w:ind w:left="340" w:right="60" w:hanging="332"/>
        <w:spacing w:after="0" w:line="229" w:lineRule="auto"/>
        <w:tabs>
          <w:tab w:leader="none" w:pos="340" w:val="left"/>
        </w:tabs>
        <w:numPr>
          <w:ilvl w:val="0"/>
          <w:numId w:val="66"/>
        </w:numPr>
        <w:rPr>
          <w:rFonts w:ascii="Arial" w:cs="Arial" w:eastAsia="Arial" w:hAnsi="Arial"/>
          <w:sz w:val="9"/>
          <w:szCs w:val="9"/>
          <w:b w:val="1"/>
          <w:bCs w:val="1"/>
          <w:color w:val="auto"/>
        </w:rPr>
      </w:pPr>
      <w:r>
        <w:rPr>
          <w:rFonts w:ascii="Arial" w:cs="Arial" w:eastAsia="Arial" w:hAnsi="Arial"/>
          <w:sz w:val="14"/>
          <w:szCs w:val="14"/>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ten votes per share on all matters submitted to them for vote. Our Class B ordinary shares are convertible at any time by the holder thereof into Class A ordinary shares on a one-for-one basis.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40" w:hanging="332"/>
        <w:spacing w:after="0" w:line="223"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96,886,370 ordinary shares held by Gallant Future Holdings Limited, (ii) 16,846,899 ordinary shares held by Joyous Harvest Holdings Limited, (iii) 9,587,116 ordinary shares held by First Optimal Holdings Limited, (iv) 8,028,026 ordinary shares held by Fast Prosperous Holdings Limited, (v) ordinary shares that Mr. Tang is entitled to acquire within 60 days from the date of this prospectus upon exercise of share options held by him under our 2012 Plan, and (vi) ordinary shares that Ms. Sichuan Zhang, the wife of Mr. Tang, is entitled to acquire within 60 days from the date of this prospectus upon exercise of share options held by Ms. Zhang under our 2012 Plan. Gallant Future Holdings Limited is incorporated in the British Virgin Islands and is wholly owned by a family trust controlled by Mr. Tang. Pursuant to a shareholder proxy agreement signed on June 11, 2012 and mutual understanding between Mr. Tang and each of the other co-founders of our company, including Messrs. Yong Li, Zhiwei Li and Xiaoliang Lei, Mr. Tang was granted irrevocable proxy to vote all the shares that the other co-founders are directly or indirectly entitled to vote as long as they and Mr. Tang directly or indirectly hold shares in our company. Joyous Harvest Holdings Limited, First Optimal Holdings Limited and Fast Prosperous Holdings Limited are wholly owned by the family trusts controlled by Mr. Yong Li, Mr. Xiaoliang Lei and Mr. Zhiwei Li, respectively. The shareholder proxy will terminate immediately upon the completion of this offering.</w:t>
      </w:r>
    </w:p>
    <w:p>
      <w:pPr>
        <w:spacing w:after="0" w:line="2" w:lineRule="exact"/>
        <w:rPr>
          <w:rFonts w:ascii="Arial" w:cs="Arial" w:eastAsia="Arial" w:hAnsi="Arial"/>
          <w:sz w:val="14"/>
          <w:szCs w:val="14"/>
          <w:color w:val="auto"/>
        </w:rPr>
      </w:pPr>
    </w:p>
    <w:p>
      <w:pPr>
        <w:ind w:left="340" w:right="30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16,846,899 ordinary shares held by Joyous Harvest Holdings Limited, a company incorporated in the British Virgin Islands and wholly owned by a family trust controlled by Mr. Li. Pursuant to a shareholder proxy agreement entered into between Mr. Li and Mr. Yan Tang on June 11, 2012 and their mutual understanding, Mr. Li granted Mr. Tang an irrevocable proxy to vote all the shares that he is directly or indirectly entitled to vote as long as Mr. Li and Mr. Tang directly or indirectly hold shares in our company. The shareholder proxy will terminate immediately upon the completion of this offering.</w:t>
      </w:r>
    </w:p>
    <w:p>
      <w:pPr>
        <w:spacing w:after="0" w:line="1" w:lineRule="exact"/>
        <w:rPr>
          <w:rFonts w:ascii="Arial" w:cs="Arial" w:eastAsia="Arial" w:hAnsi="Arial"/>
          <w:sz w:val="14"/>
          <w:szCs w:val="14"/>
          <w:color w:val="auto"/>
        </w:rPr>
      </w:pPr>
    </w:p>
    <w:p>
      <w:pPr>
        <w:ind w:left="340" w:right="8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96,886,370 ordinary shares held by Gallant Future Holdings Limited, (ii) ordinary shares that Mr. Tang is entitled to acquire within 60 days from the date of this prospectus upon exercise of share options held by him under our 2012 Plan, and (iii) ordinary shares that Ms. Zhang is entitled to acquire within 60 days from the date of this prospectus upon exercise of share options held by her under our 2012 Plan. Gallant Future Holdings Limited is incorporated in the British Virgin Islands and is wholly owned by a family trust controlled by Ms. Zhang’s husband, Mr. Yan Tang.</w:t>
      </w:r>
    </w:p>
    <w:p>
      <w:pPr>
        <w:spacing w:after="0" w:line="1" w:lineRule="exact"/>
        <w:rPr>
          <w:rFonts w:ascii="Arial" w:cs="Arial" w:eastAsia="Arial" w:hAnsi="Arial"/>
          <w:sz w:val="14"/>
          <w:szCs w:val="14"/>
          <w:color w:val="auto"/>
        </w:rPr>
      </w:pPr>
    </w:p>
    <w:p>
      <w:pPr>
        <w:ind w:left="340" w:hanging="332"/>
        <w:spacing w:after="0" w:line="238" w:lineRule="auto"/>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Represents (i) 22,272,730 ordinary shares issuable upon the conversion of the same number of Series A-1 preferred shares, (ii) 8,909,090 ordinary shares issuable upon the conversion of the same number of Series A-2 preferred shares, (iii) 19,797,980 ordinary shares issuable upon the conversion of the same number of Series A-3 preferred shares, (iv) 4,588,600 ordinary shares issuable upon the conversion of the same number of Series B preferred shares, and (v) 10,402,497 ordinary shares issuable upon the conversion of the same number of Series C preferred shares held by Matrix Partners China II Hong Kong Limited, and (vi) ordinary shares that Mr. Zhang is entitled to acquire within 60 days from the date of this prospectus upon exercise of share options held by him under our 2012 Plan. Matrix Partners China II Hong Kong Limited is a limited company incorporated in Hong Kong. Matrix Partners China II Hong Kong Limited is controlled and 90%-owned by Matrix Partners China II, L.P., and the remaining 10% shares is held by Matrix Partners China II-A, L.P. The general partner of Matrix Partners China II, L.P. and Matrix Partners China II-A, L.P. is Matrix China II GP GP, Ltd. The directors of Matrix China II GP GP, Ltd. are David Ying Zhang, Timothy A. Barrows, David Su and Yibo Shao. The business address of Mr. Zhang is Suite 08, 20/F, One International Finance Centre, 1 Harbour View Street, Central, Hong Kong.</w:t>
      </w:r>
    </w:p>
    <w:p>
      <w:pPr>
        <w:spacing w:after="0" w:line="2" w:lineRule="exact"/>
        <w:rPr>
          <w:rFonts w:ascii="Arial" w:cs="Arial" w:eastAsia="Arial" w:hAnsi="Arial"/>
          <w:sz w:val="13"/>
          <w:szCs w:val="13"/>
          <w:color w:val="auto"/>
        </w:rPr>
      </w:pPr>
    </w:p>
    <w:p>
      <w:pPr>
        <w:ind w:left="34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business address of Mr. Zhang is 26/F, Tower One, Times Square, 1 Matheson Street, Causeway Bay, Hong Kong.</w:t>
      </w:r>
    </w:p>
    <w:p>
      <w:pPr>
        <w:ind w:left="34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business address of Mr. Wu is 26/F, Tower One, Times Square, 1 Matheson Street, Causeway Bay, Hong Kong.</w:t>
      </w:r>
    </w:p>
    <w:p>
      <w:pPr>
        <w:ind w:left="340" w:right="26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ordinary shares that Mr. Man is entitled to acquire within 60 days from the date of this prospectus upon exercise of share options held by him under our 2012 Plan. The business address of Mr. Man is Suite 2601, Taikang Financial Tower, No. 38 East Third Ring Road North, Chaoyang, Beijing 100026, People’s Republic of China.</w:t>
      </w:r>
    </w:p>
    <w:p>
      <w:pPr>
        <w:ind w:left="340" w:right="40" w:hanging="332"/>
        <w:spacing w:after="0" w:line="238" w:lineRule="auto"/>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Represents (i) 2,063,441 ordinary shares issuable upon the conversion of the same number of Series D preferred shares held by SCC Growth I Holdco A, Ltd., formerly known as Sequoia Capital China Investment Holdco II, Ltd., a Cayman Islands exempted company, (ii) 11,348,923 ordinary shares issuable upon the conversion of the same number of Series D preferred shares held by Sequoia Capital China GF Holdco III-A, Ltd., a Cayman Islands exempted company, and (iii) 5,158,602 ordinary shares issuable upon the conversion of the same number of Series D preferred shares held by SC China Growth III Co-Investment 2014-A, L.P., a Cayman Islands exempted limited partnership, SCC Growth I Holdco A, Ltd., Sequoia Capital China GF Holdco III-A, Ltd. and SC China Growth III Co-Investment 2014-A, L.P. are herein collectively referred to as the Sequoia Funds. The shareholders of SCC Growth I Holdco A, Ltd. are Sequoia Capital China Growth Fund I, L.P., Sequoia Capital China Growth Partners Fund I, L.P. and Sequoia Capital China GF Principals Fund I, L.P. (collectively, the “GF I Funds”). The general partner of each of the GF I Funds is Sequoia Capital China Growth Fund Management I, L.P., whose general partner is SC China Holding Limited. The sole shareholder of Sequoia Capital China GF Holdco III-A, Ltd. is Sequoia Capital China Growth Fund III, L.P. The general partner of Sequoia Capital China Growth Fund III, L.P. is SC China Growth III Management, L.P., whose general partner is SC China Holding Limited. The general partner of SC China Growth III Co-Investment 2014-A, L.P. is SC China Growth III Management L.P., whose general partner is SC China Holding Limited. SC China Holding Limited is wholly owned by SNP China Enterprises Limited, a company wholly owned by Mr. Shen. As a result, Mr. Shen may be deemed to share voting and investment power with respect to the shares held by the Sequoia Funds. The business address of Mr. Shen is Suite 2215, Two Pacific Place, 88 Queensway Road, Hong Kong.</w:t>
      </w:r>
    </w:p>
    <w:p>
      <w:pPr>
        <w:spacing w:after="0" w:line="3" w:lineRule="exact"/>
        <w:rPr>
          <w:rFonts w:ascii="Arial" w:cs="Arial" w:eastAsia="Arial" w:hAnsi="Arial"/>
          <w:sz w:val="13"/>
          <w:szCs w:val="13"/>
          <w:color w:val="auto"/>
        </w:rPr>
      </w:pPr>
    </w:p>
    <w:p>
      <w:pPr>
        <w:jc w:val="both"/>
        <w:ind w:left="340" w:right="32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18,570,966 ordinary shares issuable upon the conversion of the same number of Series D preferred shares held by Rich Moon Limited. Rich Moon Limited is 77.8% owned by Yunfeng Fund II, L.P., or YF Fund II, and 22.2% owned by Yunfeng Moon Co-invest, L.P., or YF Moon. The general partner of YF Fund II is Yunfeng Investment II, L.P. and the general partner of YF Moon is Yunfeng Moon Co-Invest GP, Ltd. Both general partners are in turn managed by their general partner, Yunfeng Investment GP II, Ltd. Mr. Yu has the sole power to direct the voting and disposition of shares of our company directly or indirectly held by Yunfeng Investment GP II, Ltd. The business address of Mr. Yu is Suite 2201, 50 Connaught Road Central, Hong Kong.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Represents (i) ordinary shares that Mr. Lei is entitled to acquire within 60 days from the date of this prospectus upon exercise of share options held by him under our 2012 Plan, and</w:t>
      </w:r>
    </w:p>
    <w:p>
      <w:pPr>
        <w:ind w:left="340" w:right="20"/>
        <w:spacing w:after="0" w:line="232" w:lineRule="auto"/>
        <w:rPr>
          <w:rFonts w:ascii="Arial" w:cs="Arial" w:eastAsia="Arial" w:hAnsi="Arial"/>
          <w:sz w:val="13"/>
          <w:szCs w:val="13"/>
          <w:color w:val="auto"/>
        </w:rPr>
      </w:pPr>
      <w:r>
        <w:rPr>
          <w:rFonts w:ascii="Arial" w:cs="Arial" w:eastAsia="Arial" w:hAnsi="Arial"/>
          <w:sz w:val="14"/>
          <w:szCs w:val="14"/>
          <w:color w:val="auto"/>
        </w:rPr>
        <w:t>(ii) 9,587,116 ordinary shares held by First Optimal Holdings Limited, a company incorporated in the British Virgin Islands and wholly owned by a family trust controlled by Mr. Lei. Part of the ordinary shares held by First Optimal Holdings Limited remain subject to our repurchase right pursuant to our third amended and restated shareholders’ agreement dated May 15, 2014. See “Description of Share Capital—History of Securities Issuances—Ordinary Shares.” Pursuant to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60"/>
        <w:spacing w:after="0" w:line="227" w:lineRule="auto"/>
        <w:rPr>
          <w:sz w:val="20"/>
          <w:szCs w:val="20"/>
          <w:color w:val="auto"/>
        </w:rPr>
      </w:pPr>
      <w:r>
        <w:rPr>
          <w:rFonts w:ascii="Arial" w:cs="Arial" w:eastAsia="Arial" w:hAnsi="Arial"/>
          <w:sz w:val="14"/>
          <w:szCs w:val="14"/>
          <w:color w:val="auto"/>
        </w:rPr>
        <w:t>shareholder proxy agreement entered into between Mr. Lei and Mr. Yan Tang on June 11, 2012 and their mutual understanding, Mr. Lei granted Mr. Tang an irrevocable proxy to vote all the shares that he is directly or indirectly entitled to vote as long as Mr. Lei and Mr. Tang still directly or indirectly holds shares in our company. The shareholder proxy will terminate immediately upon the completion of this offering.</w:t>
      </w:r>
    </w:p>
    <w:p>
      <w:pPr>
        <w:spacing w:after="0" w:line="1" w:lineRule="exact"/>
        <w:rPr>
          <w:sz w:val="20"/>
          <w:szCs w:val="20"/>
          <w:color w:val="auto"/>
        </w:rPr>
      </w:pPr>
    </w:p>
    <w:p>
      <w:pPr>
        <w:ind w:left="340" w:right="40" w:hanging="332"/>
        <w:spacing w:after="0" w:line="238" w:lineRule="auto"/>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(i) ordinary shares that Mr. Li is entitled to acquire within 60 days from the date of this prospectus upon exercise of share options held by him under our 2012 Plan, and (ii) 8,028,026 ordinary shares held by Fast Prosperous Holdings Limited, a company incorporated in the British Virgin Islands and wholly owned by a family trust controlled by Mr. Li. Part of the ordinary shares held by Fast Prosperous Holdings Limited remain subject to our repurchase right pursuant to our third amended and restated shareholders’ agreement dated May 15, 2014. See “Description of Share Capital—History of Securities Issuances—Ordinary Shares.” Pursuant to a shareholder proxy agreement entered into between Mr. Li and Mr. Yan Tang on June 11, 2012 and their mutual understanding, Mr. Li granted Mr. Tang an irrevocable proxy to vote all the shares that he is directly or indirectly entitled to vote as long as Mr. Li and Mr. Tang directly or indirectly hold shares in our company. The shareholder proxy will terminate immediately upon the completion of this offering.</w:t>
      </w:r>
    </w:p>
    <w:p>
      <w:pPr>
        <w:spacing w:after="0" w:line="1" w:lineRule="exact"/>
        <w:rPr>
          <w:rFonts w:ascii="Arial" w:cs="Arial" w:eastAsia="Arial" w:hAnsi="Arial"/>
          <w:sz w:val="13"/>
          <w:szCs w:val="13"/>
          <w:color w:val="auto"/>
        </w:rPr>
      </w:pPr>
    </w:p>
    <w:p>
      <w:pPr>
        <w:ind w:left="340" w:hanging="332"/>
        <w:spacing w:after="0" w:line="221"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ordinary shares that Mr. Wang has the right to acquire within 60 days from the date of this prospectus upon exercise of share options held by him under our 2012 Plan.</w:t>
      </w:r>
    </w:p>
    <w:p>
      <w:pPr>
        <w:ind w:left="340" w:right="100" w:hanging="332"/>
        <w:spacing w:after="0" w:line="221"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96,886,370 ordinary shares, Gallant Future Holdings Limited is a company incorporated in the British Virgin Islands and wholly owned by a family trust controlled by Mr. Yan Tang. Part of the ordinary shares held by Gallant Future Holdings Limited remain subject to our repurchase right pursuant to our third amended and restated shareholders’ agreement dated May 15, 2014. See “Description of Share Capital—History of Securities Issuances—Ordinary Shares.” Mr. Tang has sole power to direct the voting and disposition of shares of our company directly or indirectly held by Gallant Future Holdings Limited. The registered address of Gallant Future Holdings Limited is Sertus Chambers, P.O. Box 905, Quasticky Building, Road Town, Tortola, British Virgin Islands.</w:t>
      </w:r>
    </w:p>
    <w:p>
      <w:pPr>
        <w:spacing w:after="0" w:line="1" w:lineRule="exact"/>
        <w:rPr>
          <w:rFonts w:ascii="Arial" w:cs="Arial" w:eastAsia="Arial" w:hAnsi="Arial"/>
          <w:sz w:val="14"/>
          <w:szCs w:val="14"/>
          <w:color w:val="auto"/>
        </w:rPr>
      </w:pPr>
    </w:p>
    <w:p>
      <w:pPr>
        <w:ind w:left="340" w:right="60" w:hanging="332"/>
        <w:spacing w:after="0" w:line="221"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(i) 60,859,813 ordinary shares issuable upon the conversion of the same number of Series B preferred shares and (ii) 8,001,920 ordinary shares issuable upon the conversion of the same number of series C preferred shares held by Alibaba Investment Limited. Alibaba Investment Limited is a limited liability company incorporated under the laws of the British Virgin Islands, and is wholly owned by Alibaba Group Holding Limited. The registered address of Alibaba Investment Limited is Trident Chambers, P.O. Box 146 Road Town, Tortola, British Virgin Islands.</w:t>
      </w:r>
    </w:p>
    <w:p>
      <w:pPr>
        <w:spacing w:after="0" w:line="1" w:lineRule="exact"/>
        <w:rPr>
          <w:rFonts w:ascii="Arial" w:cs="Arial" w:eastAsia="Arial" w:hAnsi="Arial"/>
          <w:sz w:val="14"/>
          <w:szCs w:val="14"/>
          <w:color w:val="auto"/>
        </w:rPr>
      </w:pPr>
    </w:p>
    <w:p>
      <w:pPr>
        <w:ind w:left="340" w:hanging="332"/>
        <w:spacing w:after="0" w:line="238" w:lineRule="auto"/>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(i) 60,859,813 ordinary shares issuable upon the conversion of the same number of Series B preferred shares, (ii) 8,001,920 ordinary shares issuable upon the conversion of the same number of series C preferred shares held by Alibaba Investment Limited and (iii) 7,407,407 Class A ordinary shares that Alibaba Investment Limited has agreed to purchase in the private placement concurrently with this offering, assuming an initial offering price of US$13.50 per ADS, the mid-point of the estimated offering price range shown on the front cover page of this prospectus. Alibaba Investment Limited is a limited liability company incorporated under the laws of the British Virgin Islands, and is wholly owned by Alibaba Group Holding Limited. The registered address of Alibaba Investment Limited is Trident Chambers, P.O. Box 146 Road Town, Tortola, British Virgin Islands.</w:t>
      </w:r>
    </w:p>
    <w:p>
      <w:pPr>
        <w:spacing w:after="0" w:line="1" w:lineRule="exact"/>
        <w:rPr>
          <w:rFonts w:ascii="Arial" w:cs="Arial" w:eastAsia="Arial" w:hAnsi="Arial"/>
          <w:sz w:val="13"/>
          <w:szCs w:val="13"/>
          <w:color w:val="auto"/>
        </w:rPr>
      </w:pPr>
    </w:p>
    <w:p>
      <w:pPr>
        <w:ind w:left="340" w:hanging="332"/>
        <w:spacing w:after="0" w:line="238" w:lineRule="auto"/>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(i) 22,272,730 ordinary shares issuable upon the conversion of the same number of Series A-1 preferred shares, (ii) 8,909,090 ordinary shares issuable upon the conversion of the same number of Series A-2 preferred shares, (iii) 19,797,980 ordinary shares issuable upon the conversion of the same number of Series A-3 preferred shares, (iv) 4,588,600 ordinary shares issuable upon the conversion of the same number of Series B preferred shares, and (v) 10,402,497 ordinary shares issuable upon the conversion of the same number of Series C preferred shares held by Matrix Partners China II Hong Kong Limited. Matrix Partners China II Hong Kong Limited is a limited company incorporated in Hong Kong. Matrix Partners China II Hong Kong Limited is controlled and 90%-owned by Matrix Partners China II, L.P., and the remaining 10% shares is held by Matrix Partners China II-A, L.P. The general partner of Matrix Partners China II, L.P. and Matrix Partners China II-A, L.P. is Matrix China II GP GP, Ltd. The directors of Matrix China II GP GP, Ltd. are David Ying Zhang, Timothy A. Barrows, David Su and Yibo Shao. Mr. Zhang, Mr. Barrows, Mr. Su and Mr. Shao share power to direct the voting and disposition of shares of our company directly or indirectly held by Matrix China II GP GP, Ltd. The registered address of Matrix Partners China II Hong Kong Limited is Suite 3701, 37/F, Jardine House, 1 Connaught Place, Central, Hong Kong.</w:t>
      </w:r>
    </w:p>
    <w:p>
      <w:pPr>
        <w:spacing w:after="0" w:line="2" w:lineRule="exact"/>
        <w:rPr>
          <w:rFonts w:ascii="Arial" w:cs="Arial" w:eastAsia="Arial" w:hAnsi="Arial"/>
          <w:sz w:val="13"/>
          <w:szCs w:val="13"/>
          <w:color w:val="auto"/>
        </w:rPr>
      </w:pPr>
    </w:p>
    <w:p>
      <w:pPr>
        <w:ind w:left="340" w:right="60" w:hanging="332"/>
        <w:spacing w:after="0" w:line="221"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18,570,966 ordinary shares issuable upon the conversion of the same number of Series D preferred shares held by Rich Moon Limited. Rich Moon Limited is 77.8% owned by Yunfeng Fund II, L.P., or YF Fund II, and 22.2% owned by Yunfeng Moon Co-invest, L.P., or YF Moon. The general partner of YF Fund II is Yunfeng Investment II, L.P. and the general partner of YF Moon is Yunfeng Moon Co-Invest GP, Ltd. Both general partners are in turn managed by their general partner Yunfeng Investment GP II, Ltd. Mr. Feng Yu has the sole power to direct the voting and disposition of shares of our company directly or indirectly held by Yunfeng Investment GP II, Ltd. The business address of Rich Moon Limited is Suite 2201, 50 Connaught Road Central, Hong Kong.</w:t>
      </w:r>
    </w:p>
    <w:p>
      <w:pPr>
        <w:spacing w:after="0" w:line="1" w:lineRule="exact"/>
        <w:rPr>
          <w:rFonts w:ascii="Arial" w:cs="Arial" w:eastAsia="Arial" w:hAnsi="Arial"/>
          <w:sz w:val="14"/>
          <w:szCs w:val="14"/>
          <w:color w:val="auto"/>
        </w:rPr>
      </w:pPr>
    </w:p>
    <w:p>
      <w:pPr>
        <w:ind w:left="340" w:right="20" w:hanging="332"/>
        <w:spacing w:after="0" w:line="238" w:lineRule="auto"/>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(i) 2,063,441 ordinary shares issuable upon the conversion of the same number of Series D preferred shares held by SCC Growth I Holdco A, Ltd., formerly known as Sequoia Capital China Investment Holdco II, Ltd., a Cayman Islands exempted company, (ii) 11,348,923 ordinary shares issuable upon the conversion of the same number of Series D preferred shares held by Sequoia Capital China GF Holdco III-A, Ltd., a Cayman Islands exempted company, and (iii) 5,158,602 ordinary shares issuable upon the conversion of the same number of Series D preferred shares held by SC China Growth III Co-Investment 2014-A, L.P., a Cayman Islands exempted limited partnership. The shareholders of SCC Growth I Holdco A, Ltd. are Sequoia Capital China Growth Fund I, L.P., Sequoia Capital China Growth Partners Fund I, L.P. and Sequoia Capital China GF Principal Funds I, L.P. (collectively, the “GF I Funds”). The general partner of each of the GF I Funds is Sequoia Capital China Growth Fund Management I, L.P., whose general partner is SC China Holding Limited. The sole shareholder of Sequoia Capital China GF Holdco III-A, Ltd. is Sequoia Capital China Growth Fund III, L.P. The general partner of Sequoia Capital China Growth Fund III, L.P. is SC China Growth III Management, L.P., whose general partner is SC China Holding Limited. The general partner of SC China Growth III Co-Investment 2014-A, L.P. is SC China Growth III Management L.P., whose general partner is SC China Holding Limited. SC China Holding Limited is wholly owned by SNP China Enterprises Limited, a company wholly owned by Mr. Neil Nanpeng Shen. As a result, Mr. Shen may be deemed to share voting and investment power with respect to the shares held by the Sequoia Funds. The registered address of the Sequoia Funds is Codan Trust Company (Cayman) Limited, Cricket Square, Hutchins Drive, PO Box 2681, Grand Cayman, KY1-1111, Cayman Islands.</w:t>
      </w:r>
    </w:p>
    <w:p>
      <w:pPr>
        <w:spacing w:after="0" w:line="3" w:lineRule="exact"/>
        <w:rPr>
          <w:rFonts w:ascii="Arial" w:cs="Arial" w:eastAsia="Arial" w:hAnsi="Arial"/>
          <w:sz w:val="13"/>
          <w:szCs w:val="13"/>
          <w:color w:val="auto"/>
        </w:rPr>
      </w:pPr>
    </w:p>
    <w:p>
      <w:pPr>
        <w:ind w:left="340" w:right="140" w:hanging="332"/>
        <w:spacing w:after="0" w:line="229"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16,846,899 ordinary shares. Joyous Harvest Holdings Limited is a company incorporated in the British Virgin Islands and wholly owned by a family trust controlled by Mr. Yong Li. Mr. Li has sole power to direct the voting and disposition of shares of our company directly or indirectly held by Joyous Harvest Holdings Limited. The registered address of Joyous Harvest Holdings Limited is Sertus Chambers, P.O. Box 905, Quastiky Building, Road Town, Tortola, British Virgin Islands. Pursuant to a shareholder proxy agreement entered into between Mr. Li and Mr. Yan Tang on June 11, 2012 and their mutual understanding, Mr. Li granted Mr. Tang 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line="253" w:lineRule="auto"/>
        <w:rPr>
          <w:sz w:val="20"/>
          <w:szCs w:val="20"/>
          <w:color w:val="auto"/>
        </w:rPr>
      </w:pPr>
      <w:r>
        <w:rPr>
          <w:rFonts w:ascii="Arial" w:cs="Arial" w:eastAsia="Arial" w:hAnsi="Arial"/>
          <w:sz w:val="14"/>
          <w:szCs w:val="14"/>
          <w:color w:val="auto"/>
        </w:rPr>
        <w:t>irrevocable proxy to vote all the shares that he is directly or indirectly entitled to vote as long as Mr. Li and Mr. Tang directly or indirectly hold shares in our company. The ordinary shares held by Joyous Harvest Holdings Limited is subject to the shareholder proxy. The shareholder proxy will terminate immediately upon the completion of this offering.</w:t>
      </w:r>
    </w:p>
    <w:p>
      <w:pPr>
        <w:spacing w:after="0" w:line="17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To our knowledge, as of the date of this prospectus, a total of 3,200,768 preferred shares are held by three record holders in the United States, representing 1.0% of our total outstanding shares on an as-converted basis. Immediately prior to the completion of this offering, our ordinary shares will be re-designated as Class A ordinary shares and Class B ordinary shares. Holders of Class A ordinary shares are entitled to one vote per share, while holders of Class B ordinary shares are entitled to ten votes per share. The ADSs that we issue in this offering will represent Class A ordinary shares. Immediately prior to the completion of this offering, 96,886,370 ordinary shares held by Gallant Future Holdings Limited will be re-designated as Class B ordinary shares on a one-for-one basis, and all of our remaining ordinary shares and preferred shares that are issued and outstanding will be re-designated as Class A ordinary shares on a one-for-one basis. See “Description of Share Capital—Ordinary Shares” for a more detailed description of our Class A ordinary shares and Class B ordinary shares.</w:t>
      </w:r>
    </w:p>
    <w:p>
      <w:pPr>
        <w:spacing w:after="0" w:line="19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Except for the above, we are not aware of any arrangement that may, at a subsequent date, result in a change of control of our company. See “Description of Share Capital—History of Securities Issuances” for a description of issuances of our ordinary shares and preferred shares that have resulted in significant changes in ownership held by our major shareholders during the past three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Beijing Momo and Its Shareholders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PRC laws and regulations currently limit foreign ownership of companies that engage in a value-added telecommunications service business in China. As a result, we operate our relevant business through contractual arrangements between Beijing Momo IT, our PRC subsidiary, Beijing Momo and the shareholders of Beijing Momo. For a description of these contractual arrangements, see “Corporate History and Structure—Contractual Arrangements with Beijing Momo.”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Founders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2012, we paid approximately US$1.0 million to Mr. Yan Tang, our co-founder, chairman and chief executive officer, to acquire 12% equity interest in Smartisan Technology Co., Ltd., a manufacturer of mobile phone hardware and software, on behalf of our company.</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 2013, we extended a personal loan of approximately US$0.2 million to Mr. Yan Tang. This loan was interest-free, unsecured and repayable on</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demand. As of December 31, 2013, the total outstanding amount of this loan was approximately US$0.2 million. Mr. Tang fully repaid the loan in June 2014.</w:t>
      </w:r>
    </w:p>
    <w:p>
      <w:pPr>
        <w:spacing w:after="0" w:line="23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On April 22, 2014, Joyous Harvest Holdings Limited, First Optimal Holdings Limited and Fast Prosperous Holdings Limited, which are companies wholly owned by family trusts controlled by Yong Li, Xiaoliang Lei and Zhiwei Li, three of our founders, respectively, surrendered a total of 15,651,589 ordinary shares to our company at no consideration. On the same date, we declared a special dividend of US$64.5 million in aggregate to these shareholders, of which US$58.0 million was paid in May 2014. US$6.5 million remained unpaid to these shareholders as of September 30,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entered into our third amended and restated shareholders agreement on May 15, 2014 with our shareholders, which consist of holders of ordinary shares, Series A-1 preferred shares, Series A-2 preferred shares, Series A-3 preferred shares, Series B preferred shares, Series C preferred shares and Series D preferred shares. Under the shareholders agreement, holders of our registrable shares are entitled to registration rights, including demand registration rights, Form F-3 registration rights and piggyback registration rights. For a more detailed description of these registration rights, see “Description of Share Capital— History of Securities Issuances—Registration Rights.”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shareholders agreement provides that our board of directors will consist of nine directors, including (i) two directors designated by Alibaba Investment Limited, (ii) two directors designated by Matrix Partners China II Hong Kong Limited, (iii) one director designated by the Sequoia Funds, (iv) one director designated by Rich Moon Limited, and (v) three directors designated by Mr. Yan Tang, initially to be Mr. Yan Tang, Mr. Yong Li, and Ms. Sichuan Zhang. Mr. Yan Tang will have five votes for each matter submitted to the board.</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shareholders agreement also provides for certain preferential rights, including information rights, right of first offer, drag-along right, right of first refusal and co-sale right, and veto rights on certain corporate matters. Except for the registration rights, all the preferential rights, as well as the provisions governing the board of directors, will automatically terminate upon the completion of our initial public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“Management—Share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a Cayman Islands exempted company with limited liability and our affairs are governed by our memorandum and articles of association and the Companies Law (2013 Revision) of the Cayman Islands, which we refer to as the Companies Law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the date of this prospectus, the authorized share capital of our company is US$100,000, divided into (i) 799,281,189 ordinary shares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US$0.0001 par value each, of which 131,348,411 shares are issued and outstanding, (ii) 22,272,730 redeemable series A-1 preferred shares with par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US$0.0001 each, all of which are issued and outstanding, (iii) 8,909,090 redeemable series A-2 preferred shares with par value of US$0.0001 each,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are issued and outstanding, (iv) 19,797,980 redeemable series A-3 preferred shares, with par value of US$0.0001 each, all of which are issued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(v) 70,037,013 redeemable series B preferred shares with par value of US$0.0001 each, all of which are issued and outstanding, (vi) 36,008,642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redeemable series C preferred shares with par value each of US$0.0001, all of which are issued and outstanding, and (vii) 43,693,356 redeemable series 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shares with par value of US$0.0001 each, all of which are issued and outstanding. All of our issued ordinary shares and preferred shares are fully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paid. Immediately prior to the completion of this offering, (i) our authorized share capital will be US$100,000 divided into 800,000,000 Class A ordinary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with a par value of US$0.0001 each, 100,000,000 Class B ordinary shares with a par value of US$0.0001 each and 100,000,000 shares of a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US$0.0001 each of such class or classes (however designated) as our board of directors may determine in accordance with our post-offering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memorandum and articles of association, (ii) 96,886,370 ordinary shares held by Gallant Future Holdings Limited will be re-designated as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on a one-for-one basis, and (iii) all of the remaining ordinary shares and preferred shares that are issued and outstanding will be re-designated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Class A ordinary shares on a one-for-one basis. We will issue 32,000,000 Class A ordinary shares represented by our ADSs in this offering, assuming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do not exercise the over-allotment option, and issue 8,888,888 Class A ordinary shares in the Concurrent Private Placement, which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has been calculated based on an assumed initial offering price of US$13.50 per ADS, the midpoint of the estimated offering price range shown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front cover page of this prospectus.</w:t>
      </w:r>
    </w:p>
    <w:p>
      <w:pPr>
        <w:spacing w:after="0" w:line="21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Prior to the adoption of our second amended and restated memorandum of association on June 11, 2012 in connection with our Series A-3 preferred shares financing, each ordinary share was entitled to one vote and each preferred share was entitled the number of votes to which it would be entitled on an as-converted basis. Since June 11, 2012, each ordinary share is entitled to one vote, except that ordinary shares held by our founders or their respective BVI holding companies, as the case may be, and any ordinary shares issued under our 2012 Plan (none issued and outstanding as of the date of this prospectus) will be entitled to five votes in respect of each ordinary share held. The voting rights of holders of our preferred shares remain unchanged.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Post-Offering Memorandum and Articles</w:t>
      </w:r>
    </w:p>
    <w:p>
      <w:pPr>
        <w:spacing w:after="0" w:line="12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have adopted an amended and restated memorandum and articles of association, which will become effective and replace our current second amended and restated memorandum and articles of association in its entirety immediately prior to the completion of this offering. The following are summaries of material provisions of the post-offering amended and restated memorandum and articles of association that we expect to adopt and of the Companies Law, insofar as they relate to the material terms of our ordinary shares.</w:t>
      </w:r>
    </w:p>
    <w:p>
      <w:pPr>
        <w:spacing w:after="0" w:line="187"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Our ordinary shares will be divided into Class A ordinary shares and Class B ordinary shares immediately prior to the completion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offering. Holders of our Class A ordinary shares and Class B</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ordinary shares will have the same rights except for voting and conversion rights. Our ordinary shares are issued in registered form. Our shareholders who are non-residents of the Cayman Islands may freely hold and vote their shares.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 xml:space="preserve">Conversion. </w:t>
      </w:r>
      <w:r>
        <w:rPr>
          <w:rFonts w:ascii="Arial" w:cs="Arial" w:eastAsia="Arial" w:hAnsi="Arial"/>
          <w:sz w:val="17"/>
          <w:szCs w:val="17"/>
          <w:color w:val="auto"/>
        </w:rPr>
        <w:t>Each Class B ordinary share is convertible into one Class A ordinary share at any time by the holder thereof. Class A ordinary shares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convertible into Class B ordinary shares under any circumstances. Upon any sale, transfer, assignment or disposition of beneficial ownership of any Class B ordinary share by a holder or a beneficial owner of such Class B ordinary shares to any person who is not an affiliate of such holder or the beneficial owner, such Class B ordinary share shall be automatically and immediately converted into one Class A ordinary share.</w:t>
      </w:r>
    </w:p>
    <w:p>
      <w:pPr>
        <w:spacing w:after="0" w:line="17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The holders of our ordinary shares are entitled to such dividends as may be declared by our board of directors. Our post-offering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are legally available for this purpose in accordance with the Companies Law. Dividends received by each Class B ordinary share and Class A ordinary share in any dividend distribution shall be the same.</w:t>
      </w:r>
    </w:p>
    <w:p>
      <w:pPr>
        <w:spacing w:after="0" w:line="1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Our Class A ordinary shares and Class B ordinary shares vote together as a single class on all matters submitted to a vote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In respect of matters requiring shareholders’ vote, each Class A ordinary share is entitled to one vote, and each Class B ordinary share is entitled to ten votes. Voting at any shareholders’ meeting is by show of hands unless a poll is demanded. A poll may be demanded by the chairman of such meeting or any one or more shareholders who together hold not less than 10% of the votes attaching to the total ordinary shares present in person or by proxy.</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quorum required for a meeting of shareholders consists of at least two shareholders present and holding not less than an aggregate of 50% of all votes of the outstanding voting shares in our company. Shareholders may be present in person or by proxy or, if the shareholder is a legal entity, by its duly authorized representative. Shareholders’ meetings may be convened by our board of directors on its own initiative or upon a request to the directors by shareholders holding no less than one-third of our voting share capital in issue. Advance notice of at least ten days is required for the convening of our annual general shareholders’ meeting and any other general shareholders’ meeting.</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outstanding ordinary shares cast at a meeting. A special resolution will be required for important matters such as a change of name or making changes to our post-offering amended and restated memorandum and articles of association. Holders of the ordinary shares may, among other things, divide or combine shares in the capital of our company by ordinary resolution.</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in the usual or common form or any other form approved by our board of directors.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900" w:right="16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53"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fee of such maximum sum as the NASDAQ Global Select Market may determine to be payable or such lesser sum as our directors may from time to time require is paid to us in respect thereof.</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NASDAQ Global Select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Redemption, Repurchase and Surrender of Ordinary Shares</w:t>
      </w:r>
      <w:r>
        <w:rPr>
          <w:rFonts w:ascii="Arial" w:cs="Arial" w:eastAsia="Arial" w:hAnsi="Arial"/>
          <w:sz w:val="17"/>
          <w:szCs w:val="17"/>
          <w:color w:val="auto"/>
        </w:rPr>
        <w:t>. We may issue shares on terms that such shares are subject to redemption, at our option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7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i w:val="1"/>
          <w:iCs w:val="1"/>
          <w:color w:val="auto"/>
        </w:rPr>
        <w:t>Variations of Rights of Shares</w:t>
      </w:r>
      <w:r>
        <w:rPr>
          <w:rFonts w:ascii="Arial" w:cs="Arial" w:eastAsia="Arial" w:hAnsi="Arial"/>
          <w:sz w:val="17"/>
          <w:szCs w:val="17"/>
          <w:color w:val="auto"/>
        </w:rPr>
        <w:t>. The rights attached to any class or series of shares (unless otherwise provided by the terms of issue of the shares of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class or series) may be varied with the consent in writing of all the holders of the issued shares of that class or series or with the sanction of a resolution passed by a majority of the votes cast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such existing class of shares.</w:t>
      </w:r>
    </w:p>
    <w:p>
      <w:pPr>
        <w:spacing w:after="0" w:line="173"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post-offering amended and restated memorandum and articles of association authorizes our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additional ordinary shares from time to time as our board of directors shall determine, to the extent of available authorized but unissued shares.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29"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Anti-Takeover Provisions</w:t>
      </w:r>
      <w:r>
        <w:rPr>
          <w:rFonts w:ascii="Arial" w:cs="Arial" w:eastAsia="Arial" w:hAnsi="Arial"/>
          <w:sz w:val="18"/>
          <w:szCs w:val="18"/>
          <w:color w:val="auto"/>
        </w:rPr>
        <w:t>. Some provisions of our post-offering memorandum and articles of association may discourage, delay or prevent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our company or management that shareholders may consider favorable, including provisions that:</w:t>
      </w:r>
    </w:p>
    <w:p>
      <w:pPr>
        <w:spacing w:after="0" w:line="76" w:lineRule="exact"/>
        <w:rPr>
          <w:sz w:val="20"/>
          <w:szCs w:val="20"/>
          <w:color w:val="auto"/>
        </w:rPr>
      </w:pPr>
    </w:p>
    <w:p>
      <w:pPr>
        <w:ind w:left="900" w:right="44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the Companies Law, we must keep a register of members and there should be entered therein:</w:t>
      </w:r>
    </w:p>
    <w:p>
      <w:pPr>
        <w:spacing w:after="0" w:line="131" w:lineRule="exact"/>
        <w:rPr>
          <w:sz w:val="20"/>
          <w:szCs w:val="20"/>
          <w:color w:val="auto"/>
        </w:rPr>
      </w:pPr>
    </w:p>
    <w:p>
      <w:pPr>
        <w:ind w:left="900" w:right="20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names and addresses of our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Upon the completion of this offering, the register of members will be immediately updated to record and give effect to the issue of shares by us to the depositary (or its nominee) as the depositary. Once our register of members has been updated, the shareholders recorded in the register of members will be deemed to have legal title to the shares set against their name.</w:t>
      </w:r>
    </w:p>
    <w:p>
      <w:pPr>
        <w:spacing w:after="0" w:line="19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The Companies Law permits mergers and consolidations between Cayman Islands companies and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9"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 derivative action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non-controlling shareholder may be permitted to commence a class action against, or derivative actions in the name of, our company to challenge:</w:t>
      </w:r>
    </w:p>
    <w:p>
      <w:pPr>
        <w:spacing w:after="0" w:line="94"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act which is ultra vires the company or illegal and is therefore incapable of ratification by the shareholders,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23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Indemnification of Directors and Executive Officers and Limitation of Liability. </w:t>
      </w:r>
      <w:r>
        <w:rPr>
          <w:rFonts w:ascii="Arial" w:cs="Arial" w:eastAsia="Arial" w:hAnsi="Arial"/>
          <w:sz w:val="18"/>
          <w:szCs w:val="18"/>
          <w:color w:val="auto"/>
        </w:rPr>
        <w:t>Cayman Islands law does not limit the extent to which a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memorandum and articles of association may provide for indemnification of officers and directors, except to the extent any such provision may be held by the Cayman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54"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 xml:space="preserve">Shareholder Proposals. </w:t>
      </w:r>
      <w:r>
        <w:rPr>
          <w:rFonts w:ascii="Arial" w:cs="Arial" w:eastAsia="Arial" w:hAnsi="Arial"/>
          <w:sz w:val="18"/>
          <w:szCs w:val="18"/>
          <w:color w:val="auto"/>
        </w:rPr>
        <w:t>Under the Delaware General Corporation Law, a shareholder has the right to put any proposal before the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provided it complies with the notice provisions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governing documents. A special meeting may be called by the board of directors or any other person authorized to do so in the governing documents, but shareholders may be precluded from calling special meetings.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articles of association. Our post-offering amended and restated articles of association allow our shareholders holding not less than one-third of all voting power of our share capital in issue to requisition a shareholder’s meeting. Other than this right to requisition a shareholders’ meeting, our post-offering amended and restated articles of association do not provide our shareholders other right to put proposal before a meeting. As an exempted Cayman Islands company, we are not obliged by law to call shareholders’ annual general meetings.</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 xml:space="preserve">Removal of Directors. </w:t>
      </w:r>
      <w:r>
        <w:rPr>
          <w:rFonts w:ascii="Arial" w:cs="Arial" w:eastAsia="Arial" w:hAnsi="Arial"/>
          <w:sz w:val="16"/>
          <w:szCs w:val="16"/>
          <w:color w:val="auto"/>
        </w:rPr>
        <w:t>Under the Delaware General Corporation Law, a director of a corporation with a classified board may be removed only for cause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w:t>
      </w:r>
    </w:p>
    <w:p>
      <w:pPr>
        <w:spacing w:after="0" w:line="14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Transactions with Interested Shareholders. </w:t>
      </w:r>
      <w:r>
        <w:rPr>
          <w:rFonts w:ascii="Arial" w:cs="Arial" w:eastAsia="Arial" w:hAnsi="Arial"/>
          <w:sz w:val="18"/>
          <w:szCs w:val="18"/>
          <w:color w:val="auto"/>
        </w:rPr>
        <w:t>The Delaware General Corporation Law contains a business combination statute applicable to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 dissolution</w:t>
      </w:r>
      <w:r>
        <w:rPr>
          <w:rFonts w:ascii="Arial" w:cs="Arial" w:eastAsia="Arial" w:hAnsi="Arial"/>
          <w:sz w:val="17"/>
          <w:szCs w:val="17"/>
          <w:i w:val="1"/>
          <w:iCs w:val="1"/>
          <w:color w:val="auto"/>
        </w:rPr>
        <w:t xml:space="preserve"> </w:t>
      </w:r>
      <w:r>
        <w:rPr>
          <w:rFonts w:ascii="Arial" w:cs="Arial" w:eastAsia="Arial" w:hAnsi="Arial"/>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its certificate of incorporation a supermajority voting requirement in connection with dissolutions initiated by the board.</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resolution passed by a majority of the votes cast at a general meeting of the holders of the shares of that class.</w:t>
      </w:r>
    </w:p>
    <w:p>
      <w:pPr>
        <w:spacing w:after="0" w:line="188"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i w:val="1"/>
          <w:iCs w:val="1"/>
          <w:color w:val="auto"/>
        </w:rPr>
        <w:t xml:space="preserve">Amendment of Governing Documents. </w:t>
      </w:r>
      <w:r>
        <w:rPr>
          <w:rFonts w:ascii="Arial" w:cs="Arial" w:eastAsia="Arial" w:hAnsi="Arial"/>
          <w:sz w:val="16"/>
          <w:szCs w:val="16"/>
          <w:color w:val="auto"/>
        </w:rPr>
        <w:t>Under the Delaware General Corporation Law, a corporation’s governing documents may be amended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entitled to vote, unless the certificate of incorporation provides otherwise. As permitted by Cayman Islands law, our post-offering amended and restated memorandum and articles of association may only be amended with a special resolution of our shareholders.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Securities Issuances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securities issuances in the past three years, which has given effect to a 1-to-10 share split effected on September 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On November 23, 2011, the date of our incorporation, we issued 147,000,000 ordinary shares, to our founders, including 95,550,000 shares to Mr. Yan Tang, 29,400,000 shares to Mr. Yong Li, 11,760,000 ordinary shares to Mr. Xiaoliang Lei, and 10,290,000 ordinary shares to Mr. Zhiwei Li.</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April 3, 2014, Mr. Yan Tang transferred 96,886,370 ordinary shares to Gallant Future Holdings Limited, a BVI company 100% beneficially owned by Mr. Yan Tang, Mr. Yong Li transferred 28,954,540 ordinary shares to Joyous Harvest Holdings Limited, a BVI company 100% beneficially owned by Mr. Yong Li, Mr. Xiaoliang Lei transferred 11,359,090 ordinary shares to First Optimal Holdings Limited, a BVI company 100% beneficially owned by Mr. Xiaoliang Lei, and Mr. Zhiwei Li transferred 9,800,000 ordinary shares to Fast Prosperous Holdings Limited, a BVI company 100% beneficially owned by Mr. Zhiwei Li.</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May 15, 2014, as part of our Series D financing, Joyous Harvest Holdings Limited, First Optimal Holdings Limited, and Fast Prosperous Holdings Limited surrendered in aggregate 15,651,589 ordinary shares to our company for no consideration.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Pursuant to the third amended and restated shareholders’ agreement dated May 15, 2014 executed in connection with the private placement of our Series D preferred shares, each of our founders including Messrs. Yan Tang, Yong Li, Xiaoliang Lei and Zhiwei Li agreed to subject the ordinary shares respectively held by their 100% beneficially owned BVI companies, Gallant Future Holdings Limited, Joyous Harvest Holdings Limited, First Optimal Holdings Limited and Fast Prosperous Holdings Limited, to our repurchase rights upon termination of employment of the founders with us. The shares subject to our repurchase rights include 96,886,370 ordinary shares held by Gallant Future Holdings Limited, 16,846,899 ordinary shares held by Joyous Harvest Holdings Limited, 9,587,116 ordinary shares held by First Optimal Holdings Limited and 8,028,026 ordinary shares held by Fast Prosperous Holdings Limited. If a founder terminates his employment or consulting relationship with us before April 17, 2015, we are entitled to repurchase 50% of the shares beneficially owned by such founder through the BVI holding company at a price of US$0.0001 per share or the lowest price permitted under applicable laws. If the termination takes place after April 17, 2015 but before April 17, 2016, we are entitled to repurchase 25% of such shares on the same terms. Our repurchase rights will survive the completion of this initial public offering, except for those on the ordinary shares held by Joyous Harvest Holdings Limited which will terminate upon the completion of this offering pursuant to a shareholder resolution adopted prior to the completion of this offering.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April 18, 2012, we issued and sold 22,272,730 Series A-1 preferred shares to each of Matrix Partners China II Hong Kong Limited, or Matrix Hong Kong, and an individual investor for an aggregate consideration of approximately US$1.0 million. In addition, we issued 8,909,090 Series A-2 preferred shares to Matrix Hong Kong Limited at the par value of US$0.0001 per share as consideration for services provided by Matrix Hong Kong.</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On July 3, 2012, we issued and sold 19,797,980 Series A-3 preferred shares to Matrix Hong Kong for an aggregate consideration of approximately US$4.0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July 17, 2012, we issued and sold 4,588,600 Series B preferred shares to Matrix Hong Kong for an aggregate consideration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US$1.5 million, 45,885,940 Series B preferred shares to Alibaba Investment Limited for an aggregate consideration of approximately US$15.0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4,588,600 Series B preferred shares to DST Team Limited for an aggregate consideration of approximately US$1.5 million.</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July 2012, 4,894,500 Series A-1 preferred shares held by an individual investor were redesignated into Series B preferred shares, and then such shares were transferred to Alibaba Investment Limited for a total consideration of approximately US$1.4 million. In January 2013, another 10,079,373 Series A-1 preferred shares held by the same individual investor were redesignated into Series B preferred shares, and then such shares were transferred to Alibaba Investment Limited for a total consideration of approximately US$4.3 million.</w:t>
      </w:r>
    </w:p>
    <w:p>
      <w:pPr>
        <w:spacing w:after="0" w:line="18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October 21, 2013, we issued and sold 10,402,497 Series C preferred shares to Matrix Hong Kong for an aggregate consideration of approximately US$13.0 million, 800,192 Series C preferred shares to Gothic Partners, L.P. for an aggregate consideration of approximately US$1.0 million, 800,192 Series C preferred shares to PJF Acorn I Trust for an aggregate consideration of approximately US$1.0 million, 1,600,384 Series C preferred shares to Gansett Partners, L.L.C. for an aggregate consideration of approximately US$2.0 million, 4,801,153 Series C preferred shares to PH momo investment Ltd. for an aggregate consideration of approximately US$6.0 million, 1,600,384 Series C preferred shares to Tenzing Holding 2011 Ltd. for an aggregate consideration of approximately US$2.0 million, 8,001,920 Series C preferred shares to Alibaba Investment Limited for an aggregate consideration of approximately US$10.0 million, and 8,001,920 Series C preferred shares to DST Team Fund Limited for an aggregate consideration of approximately US$10.0 million.</w:t>
      </w:r>
    </w:p>
    <w:p>
      <w:pPr>
        <w:spacing w:after="0" w:line="16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May 15, 2014, we issued and sold 2,063,441 Series D preferred shares to SCC Growth Holdco A, Ltd., formerly known as Sequoia Capital China Investment Holdco II, Ltd., for an aggregate consideration of US$10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million, 11,348,923 Series D preferred shares to Sequoia Capital China GF Holdco III-A, Ltd. for an aggregate consideration of US$55 million, 5,158,602 Series D preferred shares to SC China Growth III Co-Investment 2014-A, L.P. for an aggregate consideration of US$25 million, 18,570,966 Series D preferred shares to Rich Moon Limited for an aggregate consideration of US$90 million, and 6,551,424 Series D preferred shares to Tiger Global Eight Holdings for an aggregate consideration of approximately 31.8 million.</w:t>
      </w:r>
    </w:p>
    <w:p>
      <w:pPr>
        <w:spacing w:after="0" w:line="18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Concurrent with the issuance of Series D preferred shares, our board of directors declared a special dividend in favor of Joyous Harvest Holdings Limited, First Optimal Holdings Limited and Fast Prosperous Holdings Limited in the aggregate amount of approximately US$64.5 million. The special dividend was approved by the shareholders.</w:t>
      </w:r>
    </w:p>
    <w:p>
      <w:pPr>
        <w:spacing w:after="0" w:line="18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On May 15, 2014, we repurchased 7,298,857 Series A-1 preferred shares held by the individual investor for an aggregate consideration of approximately US$30.8 million. All the shares repurchased were cancelled on the same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Split</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September 12, 2012, we effected a 1-to-10 share split, in which each share of par value US$0.001 in our share capital was split into 10 shares, each of par value US$0.0001.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granted options to purchase our ordinary shares to certain of our directors, executive officers, employees and consultants under our 2012 Plan. Upon completion of this offering, an option to purchase our ordinary shares granted under the 2012 Plan prior to the offering will entitle the holder to purchase an equivalent number of Class A ordinary shares.</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As of the date of this prospectus, the aggregate number of our ordinary shares underlying our outstanding options is 30,727,026, and none of the options has been exercised. See “Management—Share Incentive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Pursuant to the third amended and restated shareholders agreement that we entered into on May 15, 2014 with all our then shareholders in connection with our issuance of preference shares prior to our initial public offering, we have granted certain registration rights to holders of our registrable securities, which include our ordinary shares issued or to be issuable upon conversion of our preferred shares, ordinary shares issued as a dividend for our preferred shares, or any other ordinary shares thereafter owned or acquired by purchasers of our preferred shares in our pre-IPO private placements, subject to certain exceptions. Set forth below is a description of the registration rights granted under the agreement.</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Demand Registration Rights. </w:t>
      </w:r>
      <w:r>
        <w:rPr>
          <w:rFonts w:ascii="Arial" w:cs="Arial" w:eastAsia="Arial" w:hAnsi="Arial"/>
          <w:sz w:val="16"/>
          <w:szCs w:val="16"/>
          <w:color w:val="auto"/>
        </w:rPr>
        <w:t>Holders of at least 10% of registrable securities have the right to demand in writing, at any time after the effectiveness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registration statement for this initial public offering, that we file a registration statement to register their registrable securities and other holders of registrable securities who choose to participate in the offering. We, however, are not obligated to effect a demand registration if we have already effected</w:t>
      </w:r>
    </w:p>
    <w:p>
      <w:pPr>
        <w:jc w:val="both"/>
        <w:ind w:right="60" w:firstLine="8"/>
        <w:spacing w:after="0" w:line="254" w:lineRule="auto"/>
        <w:tabs>
          <w:tab w:leader="none" w:pos="2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two demand registrations or (ii) one registration pursuant to the same demand registration rights or the F-3 registration rights within the six-month period preceding the date of such request. We have the right to defer the filing of a registration statement up to 90 days if our board of directors determines in good faith that the registration at such time would be materially detrimental to us and our shareholders, provided that we may not utilize this right more than twice in any 12-month period.</w:t>
      </w:r>
    </w:p>
    <w:p>
      <w:pPr>
        <w:spacing w:after="0" w:line="19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Form F-3 Registration Rights. </w:t>
      </w:r>
      <w:r>
        <w:rPr>
          <w:rFonts w:ascii="Arial" w:cs="Arial" w:eastAsia="Arial" w:hAnsi="Arial"/>
          <w:sz w:val="18"/>
          <w:szCs w:val="18"/>
          <w:color w:val="auto"/>
        </w:rPr>
        <w:t>When we are eligible for registration on Form F-3, upon a written request from the holders of at least 10%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registrable securities then outstanding, we must file a registration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statement on Form F-3 covering the offer and sale of the registrable securities by the requesting shareholders and other holders of registrable securities who choose to participate in the offering. There is no limit on the number of the registration made pursuant to this registration right. We, however, are not obligated to effect such registration if, among other things, (i) the aggregate anticipated price of such offering is less than US$1,000,000, or (ii) we have, within six months period preceding the date of such request, already effected a registration pursuant to an exercise of demand registration rights or piggyback registration rights. We may defer filing of a registration statement on Form F-3 no more than once during any twelve month period for up to 60 days if our board of directors determines in good faith that filing such registration statement will be materially detrimental to us and our shareholders.</w:t>
      </w:r>
    </w:p>
    <w:p>
      <w:pPr>
        <w:spacing w:after="0" w:line="165"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Piggyback Registration Rights. </w:t>
      </w:r>
      <w:r>
        <w:rPr>
          <w:rFonts w:ascii="Arial" w:cs="Arial" w:eastAsia="Arial" w:hAnsi="Arial"/>
          <w:sz w:val="18"/>
          <w:szCs w:val="18"/>
          <w:color w:val="auto"/>
        </w:rPr>
        <w:t>If we propose to file a registration statement for a public offering of our securities other than relating to a demand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right, F-3 registration right, an employee benefit plan or a corporate reorganization, then we must offer holders of registrable securities an opportunity to include in this registration all or any part of their registrable securities. The underwriters of any underwritten offering may in good faith allocate the shares to be included in the registration statement first to us, and second to each requesting holder of registrable securities on a pro rata basis, subject to certain limitations.</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Expenses of Registration. </w:t>
      </w:r>
      <w:r>
        <w:rPr>
          <w:rFonts w:ascii="Arial" w:cs="Arial" w:eastAsia="Arial" w:hAnsi="Arial"/>
          <w:sz w:val="18"/>
          <w:szCs w:val="18"/>
          <w:color w:val="auto"/>
        </w:rPr>
        <w:t>We will pay all registration expenses and all participating holders of registrable securities will pay the underwriting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discounts and selling commissions relating to any demand, Form F-3, or piggyback registration. However, we are not obligated to pay any expenses relating to a demand registration if the registration request is subsequently withdrawn at the request of holders of a majority of the registrable securities to be registered, subject to certain exceptions.</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Termination of Obligations. </w:t>
      </w:r>
      <w:r>
        <w:rPr>
          <w:rFonts w:ascii="Arial" w:cs="Arial" w:eastAsia="Arial" w:hAnsi="Arial"/>
          <w:sz w:val="17"/>
          <w:szCs w:val="17"/>
          <w:color w:val="auto"/>
        </w:rPr>
        <w:t>The registration rights set forth above shall terminate on the earlier of (i) the date that is five years after the completion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initial public, (ii) the date of the completion of a liquidation event, or (iii) as to any holder of registrable securities, the time when all registrable securities held by such holder may be sold in any three-month period without restriction pursuant to Rule 144 under the Securities Act.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Deutsche Bank Trust Company Americas, as depositary, will register and deliver the ADSs. Each ADS will represent ownership of two Class A ordinary shares deposited with Deutsche Bank AG, Hong Kong Branch, as custodian for the depositary. Each ADS will also represent ownership of any other securities, cash or other property which may be held by the depositary. The depositary’s principal office at which the ADSs will be administered is located at 60 Wall Street, New York, NY 10005, USA. The principal executive office of the depositary is located at 60 Wall Street, New York, NY 10005, USA.</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will not treat ADS holders as our shareholders and accordingly, you, as an ADS holder, will not have shareholder rights. Cayman Islands law governs shareholder rights. The depositary will be the holder of the Class A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w:t>
      </w:r>
    </w:p>
    <w:p>
      <w:pPr>
        <w:spacing w:after="0" w:line="17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the ADSs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hold your ADSs?</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You may hold ADSs either (i) directly (a) by having an American Depositary Receipt, or ADR, which is a certificate evidencing a specific number of ADSs, registered in your name, or (b) by holding ADSs in DRS or (ii) indirectly through your broker or another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that other financial institution to assert the rights of ADS holders described in this section. You should consult with your broker or that other financial institution to find out what those procedures are.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52" w:lineRule="exact"/>
        <w:rPr>
          <w:sz w:val="20"/>
          <w:szCs w:val="20"/>
          <w:color w:val="auto"/>
        </w:rPr>
      </w:pPr>
    </w:p>
    <w:p>
      <w:pPr>
        <w:ind w:left="900" w:hanging="325"/>
        <w:spacing w:after="0" w:line="255"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w:t>
      </w:r>
      <w:r>
        <w:rPr>
          <w:rFonts w:ascii="Arial" w:cs="Arial" w:eastAsia="Arial" w:hAnsi="Arial"/>
          <w:sz w:val="18"/>
          <w:szCs w:val="18"/>
          <w:color w:val="auto"/>
        </w:rPr>
        <w:t>The depositary will convert any cash dividend or other cash distribution we pay on the ordinary shares or any net proceeds from the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ordinary shares, rights, securities or other entitlements into U.S. dollars if it can do so on a practicable basis, and can transfer the U.S. dollars to the United States. If that is not practical or lawful or if any government approval is needed and cannot be obtained, the deposit agreement allows the depositary either to distribute the foreign currency to the ADS holders or to hold the foreign currency for the account of the ADS holders, in which case it will not invest the foreign currency and it will not be liable for any interest. Before making a distribution, any taxes or other governmental charges, together with fees and expenses of the depositary, that must be paid, will be deducted. See “—Fees and Expenses” and “—Payment of Taxes.” It will distribute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 xml:space="preserve">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w:t>
      </w:r>
      <w:r>
        <w:rPr>
          <w:rFonts w:ascii="Arial" w:cs="Arial" w:eastAsia="Arial" w:hAnsi="Arial"/>
          <w:sz w:val="18"/>
          <w:szCs w:val="18"/>
          <w:color w:val="auto"/>
        </w:rPr>
        <w:t xml:space="preserve"> </w:t>
      </w:r>
      <w:r>
        <w:rPr>
          <w:rFonts w:ascii="Arial" w:cs="Arial" w:eastAsia="Arial" w:hAnsi="Arial"/>
          <w:sz w:val="18"/>
          <w:szCs w:val="18"/>
          <w:i w:val="1"/>
          <w:iCs w:val="1"/>
          <w:color w:val="auto"/>
        </w:rPr>
        <w:t>depositary cannot convert the foreign currency, you may lose some or all of the value of the distribution.</w:t>
      </w:r>
    </w:p>
    <w:p>
      <w:pPr>
        <w:spacing w:after="0" w:line="76" w:lineRule="exact"/>
        <w:rPr>
          <w:sz w:val="20"/>
          <w:szCs w:val="20"/>
          <w:color w:val="auto"/>
        </w:rPr>
      </w:pPr>
    </w:p>
    <w:p>
      <w:pPr>
        <w:ind w:left="900" w:right="40" w:hanging="325"/>
        <w:spacing w:after="0" w:line="293"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Shares. </w:t>
      </w:r>
      <w:r>
        <w:rPr>
          <w:rFonts w:ascii="Arial" w:cs="Arial" w:eastAsia="Arial" w:hAnsi="Arial"/>
          <w:sz w:val="16"/>
          <w:szCs w:val="16"/>
          <w:color w:val="auto"/>
        </w:rPr>
        <w:t>The depositary may distribute additional ADSs representing any ordinary shares we distribute as a dividend or free distribution.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only distribute whole ADSs. It will sell any ordinary shares that would require it to deliver a fractional ADS and distribute the net proceeds in the same way as it does cash. If the depositary does not distribute additional ADSs, the outstanding ADSs will, to the extent permissible by law, also represent the new ordinary shares. The depositary may also sell all or a portion of the ordinary shares that is has not distributed, and distribute the net proceeds in the same way as it does cash. Additionally, the depositary may sell a portion of the distributed ordinary shares sufficient to pay its fees and expenses, and any taxes and governmental charges, in connection with that distribution.</w:t>
      </w:r>
    </w:p>
    <w:p>
      <w:pPr>
        <w:spacing w:after="0" w:line="70" w:lineRule="exact"/>
        <w:rPr>
          <w:rFonts w:ascii="Arial" w:cs="Arial" w:eastAsia="Arial" w:hAnsi="Arial"/>
          <w:sz w:val="16"/>
          <w:szCs w:val="16"/>
          <w:color w:val="auto"/>
        </w:rPr>
      </w:pPr>
    </w:p>
    <w:p>
      <w:pPr>
        <w:ind w:left="900" w:right="60" w:hanging="325"/>
        <w:spacing w:after="0" w:line="289"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Elective Distributions in Cash or Shares. </w:t>
      </w:r>
      <w:r>
        <w:rPr>
          <w:rFonts w:ascii="Arial" w:cs="Arial" w:eastAsia="Arial" w:hAnsi="Arial"/>
          <w:sz w:val="16"/>
          <w:szCs w:val="16"/>
          <w:color w:val="auto"/>
        </w:rPr>
        <w:t>If we offer holders of our ordinary shares the option to receive dividends in either cash or shares,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after consultation with us and having received timely notice as described in the deposit agreement of such elective distribution by us, has discretion to determine to what extent such elective distribution will be made available to you as a holder of the ADSs. We must first instruct the depositary to make such elective distribution available to you and furnish it with satisfactory evidence that it is legal to do so. The depositary could decide it is not legal or reasonably practical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You may not be given the opportunity to receive elective distributions on the same terms and conditions as the holders of our ordinary shares.</w:t>
      </w:r>
    </w:p>
    <w:p>
      <w:pPr>
        <w:spacing w:after="0" w:line="72" w:lineRule="exact"/>
        <w:rPr>
          <w:rFonts w:ascii="Arial" w:cs="Arial" w:eastAsia="Arial" w:hAnsi="Arial"/>
          <w:sz w:val="16"/>
          <w:szCs w:val="16"/>
          <w:color w:val="auto"/>
        </w:rPr>
      </w:pPr>
    </w:p>
    <w:p>
      <w:pPr>
        <w:ind w:left="900" w:right="80" w:hanging="325"/>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Rights to Subscribe for Additional Shares. </w:t>
      </w:r>
      <w:r>
        <w:rPr>
          <w:rFonts w:ascii="Arial" w:cs="Arial" w:eastAsia="Arial" w:hAnsi="Arial"/>
          <w:sz w:val="16"/>
          <w:szCs w:val="16"/>
          <w:color w:val="auto"/>
        </w:rPr>
        <w:t>If we offer holders of our ordinary shares any rights to subscribe for additional shares or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the depositary may after consultation with us and having received timely notice as described in the deposit agreement of such distribution by us, make these rights available to you. We must first instruct the depositary to make such rights available to you and furnish the depositary with satisfactory evidence that it is legal to do so. If the depositary decides it is not legal and reasonably practicable to make the rights available, or if rights have been made available but have not been exercised and appear to be about to lapse, the depositary may, if it determines it is lawful and reasonably practicable to do so, endeavor to sell the rights and distribute the net proceeds, in the same way as it does with cash. The depositary will allow rights that are not distributed or sold to lapse. In that case, you will receive no value for them.</w:t>
      </w:r>
    </w:p>
    <w:p>
      <w:pPr>
        <w:spacing w:after="0" w:line="5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If the depositary makes rights available to you, it will exercise the rights and purchase the shares on your behalf. The depositary will then deposit the shares and deliver ADSs to you. It will only exercise rights if you pay it the exercise price and any other charges the rights require you to pay. The depositary will sell shares that would require it to deliver a fractional ADS and distribute the net proceeds in the same way as it does with cash.</w:t>
      </w:r>
    </w:p>
    <w:p>
      <w:pPr>
        <w:spacing w:after="0" w:line="79"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color w:val="auto"/>
        </w:rPr>
        <w:t>The depositary may sell a portion of the distributed rights sufficient to pay its fees and expenses, and any taxes and governmental charges, in connection with that distribution.</w:t>
      </w:r>
    </w:p>
    <w:p>
      <w:pPr>
        <w:spacing w:after="0" w:line="62"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You may not be given the opportunity to exercise rights on the same terms and conditions as the holders of ordinary shares or be able to exercise such rights.</w:t>
      </w:r>
    </w:p>
    <w:p>
      <w:pPr>
        <w:spacing w:after="0" w:line="62"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Distributions. </w:t>
      </w:r>
      <w:r>
        <w:rPr>
          <w:rFonts w:ascii="Arial" w:cs="Arial" w:eastAsia="Arial" w:hAnsi="Arial"/>
          <w:sz w:val="16"/>
          <w:szCs w:val="16"/>
          <w:color w:val="auto"/>
        </w:rPr>
        <w:t>Subject to receipt of timely notice, as described in the deposit agreement, from us with the request to make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available to you, and provided the depositary has determined such distribution is lawful and reasonably practicable and in accordance with the terms of the deposit agreement, the depositary will send to you anything else we distribute on deposited securities by any means it thinks is practicable. If the depositary cannot make a distribution in this way, it may endeavor to sell what we distributed and distribute the net proceeds in the same way as it does cash. If the depositary is unable to sell what we distribute, it may dispose of such property in any way it deems reasonably practicable under the circumstances for nominal or no consideration. The depositary may sell a portion of the distributed securities or property sufficient to pay its fees and expenses and any taxes and governmental charges in connection with that distribution.</w:t>
      </w:r>
    </w:p>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4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Except for ordinary shares deposited by us in connection with this offering, no shares will be accepted for deposit during a period of 180 days after the date of this prospectus. The 180-day lock-up period is subject to adjustment under certain circumstances as described in the section entitled “Shares Eligible for Future Sale —Lock-up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cancel an American Depositary Share?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may turn in your ADSs at the depositary’s principal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if feasible.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You may instruct the depositary to vote the ordinary shares or other deposited securities underlying your ADSs. </w:t>
      </w:r>
      <w:r>
        <w:rPr>
          <w:rFonts w:ascii="Arial" w:cs="Arial" w:eastAsia="Arial" w:hAnsi="Arial"/>
          <w:sz w:val="18"/>
          <w:szCs w:val="18"/>
          <w:i w:val="1"/>
          <w:iCs w:val="1"/>
          <w:color w:val="auto"/>
        </w:rPr>
        <w:t>Otherwise, you could exercise your</w:t>
      </w:r>
      <w:r>
        <w:rPr>
          <w:rFonts w:ascii="Arial" w:cs="Arial" w:eastAsia="Arial" w:hAnsi="Arial"/>
          <w:sz w:val="18"/>
          <w:szCs w:val="18"/>
          <w:color w:val="auto"/>
        </w:rPr>
        <w:t xml:space="preserve"> </w:t>
      </w:r>
      <w:r>
        <w:rPr>
          <w:rFonts w:ascii="Arial" w:cs="Arial" w:eastAsia="Arial" w:hAnsi="Arial"/>
          <w:sz w:val="18"/>
          <w:szCs w:val="18"/>
          <w:i w:val="1"/>
          <w:iCs w:val="1"/>
          <w:color w:val="auto"/>
        </w:rPr>
        <w:t>right to vote directly if you withdraw the ordinary shares. However, you may not know about the meeting sufficiently enough in advance to withdraw the ordinary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If we ask for your instructions and upon timely notice from us as described in the deposit agreement, the depositary will notify you of the upcoming vote and arrange to deliver our voting materials to you by regular mail delivery or by electronic transmission. The materials will (i) describe the matters to be voted on and (ii) explain how you may instruct the depositary to vote the ordinary shares or other deposited securities underlying your ADSs as you direct, including an express indication that such instruction may be given or deemed given in accordance with the second to last sentence of this paragraph if no instruction is received, to the depositary to give a discretionary proxy to a person designated by us. For your voting instructions to be valid, the depositary must receive them in writing on or before the date specified. The depositary will try, as far as practical, subject to applicable law and the provisions of the deposit agreement, the deposited securities and our memorandum and articles of association, to vote or to have its agents vote the ordinary shares or other deposited securities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cannot assure you that you will receive the voting materials in time to ensure that you can instruct the depositary to vote the ordinary shares underlying your ADSs. In addition, the depositary and its agents are not responsible for failing to carry out voting instructions or for the manner in which any vote is cast. </w:t>
      </w:r>
      <w:r>
        <w:rPr>
          <w:rFonts w:ascii="Arial" w:cs="Arial" w:eastAsia="Arial" w:hAnsi="Arial"/>
          <w:sz w:val="18"/>
          <w:szCs w:val="18"/>
          <w:i w:val="1"/>
          <w:iCs w:val="1"/>
          <w:color w:val="auto"/>
        </w:rPr>
        <w:t>This means that you may not be able to exercise your right to vote and you may have no recourse if the ordinary shares underlying your ADSs are</w:t>
      </w:r>
      <w:r>
        <w:rPr>
          <w:rFonts w:ascii="Arial" w:cs="Arial" w:eastAsia="Arial" w:hAnsi="Arial"/>
          <w:sz w:val="18"/>
          <w:szCs w:val="18"/>
          <w:color w:val="auto"/>
        </w:rPr>
        <w:t xml:space="preserve"> </w:t>
      </w:r>
      <w:r>
        <w:rPr>
          <w:rFonts w:ascii="Arial" w:cs="Arial" w:eastAsia="Arial" w:hAnsi="Arial"/>
          <w:sz w:val="18"/>
          <w:szCs w:val="18"/>
          <w:i w:val="1"/>
          <w:iCs w:val="1"/>
          <w:color w:val="auto"/>
        </w:rPr>
        <w:t>not voted as you requested.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As an ADS holder, you will be required to pay the following service fees to the depositary and certain taxes and governmental charges (in addition to any applicable fees, expenses, taxes and other governmental charges payable on the deposited securities represented by any of your ADSs):</w:t>
      </w:r>
    </w:p>
    <w:p>
      <w:pPr>
        <w:sectPr>
          <w:pgSz w:w="11900" w:h="16838" w:orient="portrait"/>
          <w:cols w:equalWidth="0" w:num="1">
            <w:col w:w="11400"/>
          </w:cols>
          <w:pgMar w:left="240" w:top="459" w:right="25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963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 w:lineRule="exact"/>
        <w:rPr>
          <w:sz w:val="20"/>
          <w:szCs w:val="20"/>
          <w:color w:val="auto"/>
        </w:rPr>
      </w:pPr>
    </w:p>
    <w:p>
      <w:pPr>
        <w:ind w:left="360" w:right="340" w:hanging="262"/>
        <w:spacing w:after="0" w:line="278" w:lineRule="auto"/>
        <w:tabs>
          <w:tab w:leader="none" w:pos="33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p>
      <w:pPr>
        <w:spacing w:after="0" w:line="64" w:lineRule="exact"/>
        <w:rPr>
          <w:rFonts w:ascii="Arial" w:cs="Arial" w:eastAsia="Arial" w:hAnsi="Arial"/>
          <w:sz w:val="17"/>
          <w:szCs w:val="17"/>
          <w:color w:val="auto"/>
        </w:rPr>
      </w:pPr>
    </w:p>
    <w:p>
      <w:pPr>
        <w:ind w:left="340" w:hanging="24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Cancellation of ADSs, including termination of the deposit agreement</w:t>
      </w:r>
    </w:p>
    <w:p>
      <w:pPr>
        <w:spacing w:after="0" w:line="117" w:lineRule="exact"/>
        <w:rPr>
          <w:rFonts w:ascii="Arial" w:cs="Arial" w:eastAsia="Arial" w:hAnsi="Arial"/>
          <w:sz w:val="18"/>
          <w:szCs w:val="18"/>
          <w:color w:val="auto"/>
        </w:rPr>
      </w:pPr>
    </w:p>
    <w:p>
      <w:pPr>
        <w:ind w:left="340" w:hanging="24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Distribution of cash dividends</w:t>
      </w:r>
    </w:p>
    <w:p>
      <w:pPr>
        <w:spacing w:after="0" w:line="117" w:lineRule="exact"/>
        <w:rPr>
          <w:rFonts w:ascii="Arial" w:cs="Arial" w:eastAsia="Arial" w:hAnsi="Arial"/>
          <w:sz w:val="18"/>
          <w:szCs w:val="18"/>
          <w:color w:val="auto"/>
        </w:rPr>
      </w:pPr>
    </w:p>
    <w:p>
      <w:pPr>
        <w:jc w:val="both"/>
        <w:ind w:left="360" w:right="260" w:hanging="262"/>
        <w:spacing w:after="0" w:line="264" w:lineRule="auto"/>
        <w:tabs>
          <w:tab w:leader="none" w:pos="333"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Distribution of cash entitlements (other than cash dividends) and/or cash proceeds, including proceeds from the sale of rights, securities and other entitlements</w:t>
      </w:r>
    </w:p>
    <w:p>
      <w:pPr>
        <w:spacing w:after="0" w:line="73" w:lineRule="exact"/>
        <w:rPr>
          <w:rFonts w:ascii="Arial" w:cs="Arial" w:eastAsia="Arial" w:hAnsi="Arial"/>
          <w:sz w:val="18"/>
          <w:szCs w:val="18"/>
          <w:color w:val="auto"/>
        </w:rPr>
      </w:pPr>
    </w:p>
    <w:p>
      <w:pPr>
        <w:ind w:left="340" w:hanging="24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Distribution of ADSs pursuant to exercise of rights.</w:t>
      </w:r>
    </w:p>
    <w:p>
      <w:pPr>
        <w:spacing w:after="0" w:line="117" w:lineRule="exact"/>
        <w:rPr>
          <w:rFonts w:ascii="Arial" w:cs="Arial" w:eastAsia="Arial" w:hAnsi="Arial"/>
          <w:sz w:val="18"/>
          <w:szCs w:val="18"/>
          <w:color w:val="auto"/>
        </w:rPr>
      </w:pPr>
    </w:p>
    <w:p>
      <w:pPr>
        <w:ind w:left="340" w:hanging="24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4048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issued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cancelled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held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held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held</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Up to US$0.05 per ADS held on the applicable record date(s) established by the depositary bank</w:t>
      </w:r>
    </w:p>
    <w:p>
      <w:pPr>
        <w:sectPr>
          <w:pgSz w:w="11900" w:h="16838" w:orient="portrait"/>
          <w:cols w:equalWidth="0" w:num="2">
            <w:col w:w="5840" w:space="220"/>
            <w:col w:w="5340"/>
          </w:cols>
          <w:pgMar w:left="240" w:top="459" w:right="25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and certain taxes and governmental charges (in addition to any applicable fees, expenses, taxes and other governmental charges payable on the deposited securities represented by any of your ADSs) such as the following:</w:t>
      </w:r>
    </w:p>
    <w:p>
      <w:pPr>
        <w:spacing w:after="0" w:line="87" w:lineRule="exact"/>
        <w:rPr>
          <w:sz w:val="20"/>
          <w:szCs w:val="20"/>
          <w:color w:val="auto"/>
        </w:rPr>
      </w:pPr>
    </w:p>
    <w:p>
      <w:pPr>
        <w:ind w:left="900" w:right="4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in Cayman Islands (</w:t>
      </w:r>
      <w:r>
        <w:rPr>
          <w:rFonts w:ascii="Arial" w:cs="Arial" w:eastAsia="Arial" w:hAnsi="Arial"/>
          <w:sz w:val="18"/>
          <w:szCs w:val="18"/>
          <w:i w:val="1"/>
          <w:iCs w:val="1"/>
          <w:color w:val="auto"/>
        </w:rPr>
        <w:t>i.e.</w:t>
      </w:r>
      <w:r>
        <w:rPr>
          <w:rFonts w:ascii="Arial" w:cs="Arial" w:eastAsia="Arial" w:hAnsi="Arial"/>
          <w:sz w:val="18"/>
          <w:szCs w:val="18"/>
          <w:color w:val="auto"/>
        </w:rPr>
        <w:t>, upon deposit and withdrawal of ordinary shares).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Expenses for cable, telex, fax and electronic transmissions and for delivery of securities.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w:t>
      </w:r>
      <w:r>
        <w:rPr>
          <w:rFonts w:ascii="Arial" w:cs="Arial" w:eastAsia="Arial" w:hAnsi="Arial"/>
          <w:sz w:val="18"/>
          <w:szCs w:val="18"/>
          <w:i w:val="1"/>
          <w:iCs w:val="1"/>
          <w:color w:val="auto"/>
        </w:rPr>
        <w:t>i.e.</w:t>
      </w:r>
      <w:r>
        <w:rPr>
          <w:rFonts w:ascii="Arial" w:cs="Arial" w:eastAsia="Arial" w:hAnsi="Arial"/>
          <w:sz w:val="18"/>
          <w:szCs w:val="18"/>
          <w:color w:val="auto"/>
        </w:rPr>
        <w:t>, when ordinary shares are deposited or withdrawn from deposit).</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of ordinary shares on deposit or the servicing of ordinary shares, deposited securities and/or ADSs.</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ordinary shares, deposited securities, ADSs and ADRs.</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depositary fees payable upon the issuance and cancellation of ADSs are typically paid to the depositary by the brokers (on behalf of their clients) receiving the newly issued ADSs from the depositary and by the brokers (on behalf of their clients) delivering the ADSs to the depositary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54"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depositary fees payable for cash distributions are generally deducted from the cash being distributed or by selling a portion of distributable property to pay the fees. In the case of distributions other than cash (</w:t>
      </w:r>
      <w:r>
        <w:rPr>
          <w:rFonts w:ascii="Arial" w:cs="Arial" w:eastAsia="Arial" w:hAnsi="Arial"/>
          <w:sz w:val="17"/>
          <w:szCs w:val="17"/>
          <w:i w:val="1"/>
          <w:iCs w:val="1"/>
          <w:color w:val="auto"/>
        </w:rPr>
        <w:t>i.e.</w:t>
      </w:r>
      <w:r>
        <w:rPr>
          <w:rFonts w:ascii="Arial" w:cs="Arial" w:eastAsia="Arial" w:hAnsi="Arial"/>
          <w:sz w:val="17"/>
          <w:szCs w:val="17"/>
          <w:color w:val="auto"/>
        </w:rPr>
        <w:t>, share dividends, rights), the depositary charges the applicable fee to the ADS record date holders concurrent with the distribution. In the case of ADSs registered in the name of the investor (whether certificated or uncertificated in direct registration), the depositary sends invoices to the applicable record date ADS holders. In the case of ADSs held in brokerage and custodian accounts (via DTC), the depositary generally collects its fees through the systems provided by DTC (whose nominee is the registered holder of the ADSs held in DTC) from the brokers and custodians holding ADSs in their DTC accounts. The brokers and custodians that hold their clients’ ADSs in DTC accounts in turn charge their clients’ accounts the amount of the fees paid to the depositary banks.</w:t>
      </w:r>
    </w:p>
    <w:p>
      <w:pPr>
        <w:spacing w:after="0" w:line="178"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depositary has agreed to reimburse us for certain expenses we incur that are related to establishment and maintenance of the ADR program upon such terms and conditions as we and the depositary may agree from time to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and each of our and their respective agents, directors, employees and affiliates for, and hold each of them harmless from, any claims with respect to taxes (including applicable interest and penalties thereon) arising from any refund of taxes, reduced rate or withholding or other tax benefit obtained for you.</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ectPr>
          <w:pgSz w:w="11900" w:h="16838" w:orient="portrait"/>
          <w:cols w:equalWidth="0" w:num="1">
            <w:col w:w="11380"/>
          </w:cols>
          <w:pgMar w:left="240" w:top="460" w:right="27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If we:</w:t>
      </w:r>
    </w:p>
    <w:p>
      <w:pPr>
        <w:spacing w:after="0" w:line="25" w:lineRule="exact"/>
        <w:rPr>
          <w:sz w:val="20"/>
          <w:szCs w:val="20"/>
          <w:color w:val="auto"/>
        </w:rPr>
      </w:pPr>
    </w:p>
    <w:p>
      <w:pPr>
        <w:ind w:left="340" w:hanging="24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 the par value of our ordinary shares</w:t>
      </w:r>
    </w:p>
    <w:p>
      <w:pPr>
        <w:spacing w:after="0" w:line="236" w:lineRule="exact"/>
        <w:rPr>
          <w:rFonts w:ascii="Arial" w:cs="Arial" w:eastAsia="Arial" w:hAnsi="Arial"/>
          <w:sz w:val="18"/>
          <w:szCs w:val="18"/>
          <w:color w:val="auto"/>
        </w:rPr>
      </w:pPr>
    </w:p>
    <w:p>
      <w:pPr>
        <w:ind w:left="340" w:hanging="24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Reclassify, split up, subdivide or consolidate any of the deposited securities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Then:</w:t>
      </w:r>
    </w:p>
    <w:p>
      <w:pPr>
        <w:spacing w:after="0" w:line="25" w:lineRule="exact"/>
        <w:rPr>
          <w:sz w:val="20"/>
          <w:szCs w:val="20"/>
          <w:color w:val="auto"/>
        </w:rPr>
      </w:pPr>
    </w:p>
    <w:p>
      <w:pPr>
        <w:ind w:left="360" w:right="40" w:hanging="280"/>
        <w:spacing w:after="0" w:line="253" w:lineRule="auto"/>
        <w:tabs>
          <w:tab w:leader="none" w:pos="33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cash, shares or other securities received by the depositary will become deposited securities, to the extent permitted by law, and each ADS will automatically represent its equal share of the new deposited securities.</w:t>
      </w:r>
    </w:p>
    <w:p>
      <w:pPr>
        <w:spacing w:after="0" w:line="84" w:lineRule="exact"/>
        <w:rPr>
          <w:sz w:val="20"/>
          <w:szCs w:val="20"/>
          <w:color w:val="auto"/>
        </w:rPr>
      </w:pPr>
    </w:p>
    <w:p>
      <w:pPr>
        <w:sectPr>
          <w:pgSz w:w="11900" w:h="16838" w:orient="portrait"/>
          <w:cols w:equalWidth="0" w:num="2">
            <w:col w:w="5780" w:space="180"/>
            <w:col w:w="5420"/>
          </w:cols>
          <w:pgMar w:left="240" w:top="460" w:right="279" w:bottom="1440" w:gutter="0" w:footer="0" w:header="0"/>
          <w:type w:val="continuous"/>
        </w:sectPr>
      </w:pPr>
    </w:p>
    <w:p>
      <w:pPr>
        <w:ind w:left="360" w:hanging="262"/>
        <w:spacing w:after="0" w:line="418" w:lineRule="auto"/>
        <w:tabs>
          <w:tab w:leader="none" w:pos="333"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Distribute securities on the ordinary shares that are not distributed to you or</w:t>
      </w:r>
    </w:p>
    <w:p>
      <w:pPr>
        <w:spacing w:after="0" w:line="35" w:lineRule="exact"/>
        <w:rPr>
          <w:rFonts w:ascii="Arial" w:cs="Arial" w:eastAsia="Arial" w:hAnsi="Arial"/>
          <w:sz w:val="18"/>
          <w:szCs w:val="18"/>
          <w:color w:val="auto"/>
        </w:rPr>
      </w:pPr>
    </w:p>
    <w:p>
      <w:pPr>
        <w:ind w:left="360" w:right="280" w:hanging="262"/>
        <w:spacing w:after="0" w:line="277" w:lineRule="auto"/>
        <w:tabs>
          <w:tab w:leader="none" w:pos="333"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Recapitalize, reorganize, merge, liquidate, sell our assets, or take any similar action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ind w:left="280" w:right="220" w:hanging="280"/>
        <w:spacing w:after="0" w:line="264"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depositary may deliver new ADSs or ask you to surrender your outstanding ADRs in exchange for new ADRs identifying the new deposited securities.</w:t>
      </w:r>
    </w:p>
    <w:p>
      <w:pPr>
        <w:spacing w:after="0" w:line="73" w:lineRule="exact"/>
        <w:rPr>
          <w:rFonts w:ascii="Arial" w:cs="Arial" w:eastAsia="Arial" w:hAnsi="Arial"/>
          <w:sz w:val="18"/>
          <w:szCs w:val="18"/>
          <w:color w:val="auto"/>
        </w:rPr>
      </w:pPr>
    </w:p>
    <w:p>
      <w:pPr>
        <w:ind w:left="280" w:right="40" w:hanging="280"/>
        <w:spacing w:after="0" w:line="259" w:lineRule="auto"/>
        <w:tabs>
          <w:tab w:leader="none" w:pos="2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any securities received by the depositary may not be lawfully distributed to some or all holders of ADSs, the depositary may sell such securities and distribute the net proceeds in the same way it does cash.</w:t>
      </w:r>
    </w:p>
    <w:p>
      <w:pPr>
        <w:spacing w:after="0" w:line="943" w:lineRule="exact"/>
        <w:rPr>
          <w:sz w:val="20"/>
          <w:szCs w:val="20"/>
          <w:color w:val="auto"/>
        </w:rPr>
      </w:pPr>
    </w:p>
    <w:p>
      <w:pPr>
        <w:sectPr>
          <w:pgSz w:w="11900" w:h="16838" w:orient="portrait"/>
          <w:cols w:equalWidth="0" w:num="2">
            <w:col w:w="5600" w:space="440"/>
            <w:col w:w="5340"/>
          </w:cols>
          <w:pgMar w:left="240" w:top="460" w:right="279" w:bottom="1440" w:gutter="0" w:footer="0" w:header="0"/>
          <w:type w:val="continuous"/>
        </w:sectPr>
      </w:pPr>
    </w:p>
    <w:p>
      <w:pPr>
        <w:ind w:firstLine="456"/>
        <w:spacing w:after="0" w:line="254" w:lineRule="auto"/>
        <w:rPr>
          <w:sz w:val="20"/>
          <w:szCs w:val="20"/>
          <w:color w:val="auto"/>
        </w:rPr>
      </w:pPr>
      <w:r>
        <w:rPr>
          <w:rFonts w:ascii="Arial" w:cs="Arial" w:eastAsia="Arial" w:hAnsi="Arial"/>
          <w:sz w:val="18"/>
          <w:szCs w:val="18"/>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or materially prejudices a substantial existing right of ADS holders, it will not become effective for outstanding ADSs until 30 days after the depositary notifies ADS holders of the amendment. </w:t>
      </w:r>
      <w:r>
        <w:rPr>
          <w:rFonts w:ascii="Arial" w:cs="Arial" w:eastAsia="Arial" w:hAnsi="Arial"/>
          <w:sz w:val="18"/>
          <w:szCs w:val="18"/>
          <w:i w:val="1"/>
          <w:iCs w:val="1"/>
          <w:color w:val="auto"/>
        </w:rPr>
        <w:t>At the time an</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becomes effective, you are considered, by continuing to hold your ADSs, to agree to the amendment and to be bound by the ADRs and the deposit agreement as amended</w:t>
      </w:r>
      <w:r>
        <w:rPr>
          <w:rFonts w:ascii="Arial" w:cs="Arial" w:eastAsia="Arial" w:hAnsi="Arial"/>
          <w:sz w:val="18"/>
          <w:szCs w:val="18"/>
          <w:color w:val="auto"/>
        </w:rPr>
        <w:t>. If any new laws are adopted that would require the deposit agreement to be amended in order to comply therewith, we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depositary may amend the deposit agreement in accordance with such laws and such amendment may become effective before notice thereof is given to ADS holders.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termination, the depositary and its agents will do the following under the deposit agreement but nothing else:</w:t>
      </w:r>
    </w:p>
    <w:p>
      <w:pPr>
        <w:spacing w:after="0" w:line="13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Collect distributions on the deposited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Sell rights and other property.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460" w:right="27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34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Deliver ordinary shares and other deposited securities upon cancellation of ADSs after payment of any fees, charges, taxes or other governmental charges. Six months or more after termination, the depositary may sell any remaining deposited securities by public or private sale.</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under the deposit agreement will be to indemnify the depositary and to pay fees and expenses of the depositary that we agreed to pay.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the business of our company or matters relating to the ADSs or the deposit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depositary will maintain facilities in New York to record and process the issuance, cancellation, combination, split-up and transfer of ADRs.</w:t>
      </w:r>
    </w:p>
    <w:p>
      <w:pPr>
        <w:spacing w:after="0" w:line="23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facilities may be closed from time to time, to the extent not prohibited by law or if any such action is deemed necessary or advisable by the depositary or us, in good faith, at any time or from time to time because of any requirement of law, any government or governmental body or commission or any securities exchange on which the ADRs or ADSs are listed, or under any provision of the deposit agreement or provisions of, or governing, the deposited securities, or any meeting of our shareholders or for any other reason.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as follows:</w:t>
      </w:r>
    </w:p>
    <w:p>
      <w:pPr>
        <w:spacing w:after="0" w:line="76" w:lineRule="exact"/>
        <w:rPr>
          <w:sz w:val="20"/>
          <w:szCs w:val="20"/>
          <w:color w:val="auto"/>
        </w:rPr>
      </w:pPr>
    </w:p>
    <w:p>
      <w:pPr>
        <w:ind w:left="900" w:right="32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and the depositary are only obligated to take the actions specifically set forth in the deposit agreement without gross negligence or willful misconduct.</w:t>
      </w:r>
    </w:p>
    <w:p>
      <w:pPr>
        <w:spacing w:after="0" w:line="75" w:lineRule="exact"/>
        <w:rPr>
          <w:rFonts w:ascii="Arial" w:cs="Arial" w:eastAsia="Arial" w:hAnsi="Arial"/>
          <w:sz w:val="18"/>
          <w:szCs w:val="18"/>
          <w:color w:val="auto"/>
        </w:rPr>
      </w:pPr>
    </w:p>
    <w:p>
      <w:pPr>
        <w:ind w:left="900" w:right="300" w:hanging="325"/>
        <w:spacing w:after="0" w:line="276"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and the depositary are not liable if either of us is prevented or delayed by law or circumstances beyond our control from performing our obligations under the deposit agreement, including, without limitation, requirements of any present or future law, regulation, governmental or regulatory authority or share exchange of any applicable jurisdiction, any present or future provisions of our memorandum and articles of association, on account of possible civil or criminal penalties or restraint, any provisions of or governing the deposited securities or any act of God, war or other circumstances beyond our control as set forth in the deposit agreement.</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and the depositary are not liable if either of us exercises, or fails to exercise, discretion permitted under the deposit agreement.</w:t>
      </w:r>
    </w:p>
    <w:p>
      <w:pPr>
        <w:spacing w:after="0" w:line="130" w:lineRule="exact"/>
        <w:rPr>
          <w:rFonts w:ascii="Arial" w:cs="Arial" w:eastAsia="Arial" w:hAnsi="Arial"/>
          <w:sz w:val="18"/>
          <w:szCs w:val="18"/>
          <w:color w:val="auto"/>
        </w:rPr>
      </w:pPr>
    </w:p>
    <w:p>
      <w:pPr>
        <w:ind w:left="900" w:right="80" w:hanging="325"/>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and the depositary are not liable for the inability of any holder of ADSs to benefit from any distribution, offering, right or other benefit made available to holders of deposited securities that is not made available to holders of ADSs under the terms of the deposit agreement.</w:t>
      </w:r>
    </w:p>
    <w:p>
      <w:pPr>
        <w:spacing w:after="0" w:line="51" w:lineRule="exact"/>
        <w:rPr>
          <w:rFonts w:ascii="Arial" w:cs="Arial" w:eastAsia="Arial" w:hAnsi="Arial"/>
          <w:sz w:val="17"/>
          <w:szCs w:val="17"/>
          <w:color w:val="auto"/>
        </w:rPr>
      </w:pPr>
    </w:p>
    <w:p>
      <w:pPr>
        <w:jc w:val="both"/>
        <w:ind w:left="900" w:right="220" w:hanging="325"/>
        <w:spacing w:after="0" w:line="31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and the depositary have no obligation to become involved in a lawsuit or other proceeding related to the ADSs or the deposit agreement on your behalf or on behalf of any other party if in our or the depositary’s opinion such proceeding may involve us or the depositary in expense or liability, unless satisfactory indemnity against all expenses and liabilities is furnished as often as may be required.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and the depositary may rely upon any documents we believe in good faith to be genuine and to have been signed or presented by the proper party.</w:t>
      </w:r>
    </w:p>
    <w:p>
      <w:pPr>
        <w:spacing w:after="0" w:line="75" w:lineRule="exact"/>
        <w:rPr>
          <w:rFonts w:ascii="Arial" w:cs="Arial" w:eastAsia="Arial" w:hAnsi="Arial"/>
          <w:sz w:val="18"/>
          <w:szCs w:val="18"/>
          <w:color w:val="auto"/>
        </w:rPr>
      </w:pPr>
    </w:p>
    <w:p>
      <w:pPr>
        <w:ind w:left="900" w:right="30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and the depositary disclaim any liability for any action/inaction in reliance on the advice or information of legal counsel, accountants, any person presenting ordinary shares for deposit, holders and beneficial owners (or authorized representatives) of ADSs, or any other person believed in good faith to be competent to give such advice or information.</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and the depositary disclaim any liability for any indirect, special, punitive or consequential damages for any breach of the terms of the deposit agreement or otherwise.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and any of its agents also disclaim any liability for any of the following:</w:t>
      </w:r>
    </w:p>
    <w:p>
      <w:pPr>
        <w:spacing w:after="0" w:line="131"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Failure to carry out any instructions to vote.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Manner in which any vote is cast.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effect of any vote.</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Failure to determine that any distribution or action may be lawful or reasonably practicable or for allowing any rights to lapse in accordance with the provisions of the deposit agreement.</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Failure or timeliness of any notice from us, the content of any information submitted to it by us for distribution to you or for any inaccuracy of any translation thereof.</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investment risk associated with the acquisition of an interest in the deposited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validity or worth of the deposited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credit-worthiness of any third party.</w:t>
      </w:r>
    </w:p>
    <w:p>
      <w:pPr>
        <w:spacing w:after="0" w:line="130" w:lineRule="exact"/>
        <w:rPr>
          <w:rFonts w:ascii="Arial" w:cs="Arial" w:eastAsia="Arial" w:hAnsi="Arial"/>
          <w:sz w:val="18"/>
          <w:szCs w:val="18"/>
          <w:color w:val="auto"/>
        </w:rPr>
      </w:pPr>
    </w:p>
    <w:p>
      <w:pPr>
        <w:jc w:val="both"/>
        <w:ind w:left="900" w:hanging="325"/>
        <w:spacing w:after="0" w:line="286"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tax consequences that may result from ownership of ADSs, ordinary shares or deposited securities. The depositary and its agents shall not be liable for any acts or omissions made by a successor depositary, provided that in connection with any issue out of which a potential liability arises the depositary performed its obligations without gross negligence or willful misconduct while it acted as depositary.</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addition, 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the depositary or our company related to our shares, the ADSs or the deposit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Before the depositary will issue, deliver or register a transfer of an ADS, split-up, subdivide or combine ADSs, make a distribution on an ADS, or permit withdrawal of ordinary shares, the depositary may require the following:</w:t>
      </w:r>
    </w:p>
    <w:p>
      <w:pPr>
        <w:spacing w:after="0" w:line="76" w:lineRule="exact"/>
        <w:rPr>
          <w:sz w:val="20"/>
          <w:szCs w:val="20"/>
          <w:color w:val="auto"/>
        </w:rPr>
      </w:pPr>
    </w:p>
    <w:p>
      <w:pPr>
        <w:ind w:left="900" w:right="40" w:hanging="325"/>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any other matters contemplated in the deposit agreement.</w:t>
      </w:r>
    </w:p>
    <w:p>
      <w:pPr>
        <w:spacing w:after="0" w:line="130" w:lineRule="exact"/>
        <w:rPr>
          <w:rFonts w:ascii="Arial" w:cs="Arial" w:eastAsia="Arial" w:hAnsi="Arial"/>
          <w:sz w:val="18"/>
          <w:szCs w:val="18"/>
          <w:color w:val="auto"/>
        </w:rPr>
      </w:pPr>
    </w:p>
    <w:p>
      <w:pPr>
        <w:ind w:left="900" w:right="60" w:hanging="325"/>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Compliance with applicable laws and governmental regulations, and such reasonable regulations and procedures as the depositary may establish, from time to time, consistent with the deposit agreement and applicable law, including presentation of transfer documents.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depositary may refuse to issue and deliver ADSs or register transfers of ADSs generally when the register of the depositary or our transfer books are closed or at any time if the depositary or we think it is necessary or advisable to do so.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Receive the Shares Underlying Your ADSs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have the right to cancel your ADSs and withdraw the underlying ordinary shares at any time except in the following instances:</w:t>
      </w:r>
    </w:p>
    <w:p>
      <w:pPr>
        <w:spacing w:after="0" w:line="131" w:lineRule="exact"/>
        <w:rPr>
          <w:sz w:val="20"/>
          <w:szCs w:val="20"/>
          <w:color w:val="auto"/>
        </w:rPr>
      </w:pPr>
    </w:p>
    <w:p>
      <w:pPr>
        <w:ind w:left="900" w:right="340" w:hanging="325"/>
        <w:spacing w:after="0" w:line="34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121"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The deposit agreement permits the depositary to deliver ADSs before deposit of the underlying ordinary shares. This is called a pre-release of the ADSs. The depositary may also deliver ordinary shares upon cancellation of pre-released ADSs (even if the ADSs are cancelled before the pre-release transaction has been closed out). A pre-release is closed out as soon as the underlying ordinary shares are delivered to the depositary. The depositary may receive ADSs instead of ordinary shares to close out a pre-release. The depositary may pre-release ADSs only under the following conditions:</w:t>
      </w:r>
    </w:p>
    <w:p>
      <w:pPr>
        <w:spacing w:after="0" w:line="60" w:lineRule="exact"/>
        <w:rPr>
          <w:sz w:val="20"/>
          <w:szCs w:val="20"/>
          <w:color w:val="auto"/>
        </w:rPr>
      </w:pPr>
    </w:p>
    <w:p>
      <w:pPr>
        <w:ind w:left="900" w:right="40" w:hanging="446"/>
        <w:spacing w:after="0" w:line="276"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Before or at the time of the pre-release, the person to whom the pre-release is being made represents to the depositary in writing that it or its customer (a) owns the ordinary shares or ADSs to be deposited, (b) agrees to indicate the depositary as owner of such ordinary shares or ADSs in its records and to hold such ordinary shares or ADSs in trust for the depositary until such ordinary shares or ADSs are delivered to the depositary or the custodian, (c) unconditionally guarantees to deliver such ordinary shares or ADSs to the depositary or the custodian, as the case may be and (d) agrees to any additional restrictions or requirements that the depositary deems appropriate.</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pre-release is fully collateralized with cash, US government securities or other collateral that the depositary considers appropriate.</w:t>
      </w:r>
    </w:p>
    <w:p>
      <w:pPr>
        <w:spacing w:after="0" w:line="142" w:lineRule="exact"/>
        <w:rPr>
          <w:rFonts w:ascii="Arial" w:cs="Arial" w:eastAsia="Arial" w:hAnsi="Arial"/>
          <w:sz w:val="17"/>
          <w:szCs w:val="17"/>
          <w:color w:val="auto"/>
        </w:rPr>
      </w:pPr>
    </w:p>
    <w:p>
      <w:pPr>
        <w:ind w:left="900" w:hanging="446"/>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depositary must be able to close out the pre-release on not more than five business days’ notice. Each pre-release is subject to further indemnities and credit regulations as the depositary considers appropriate. In addition, the depositary will normally limit the number of ADSs that may be outstanding at any time as a result of pre-release to 30% of the aggregate number of ADSs then outstanding, although the depositary may disregard the limit from time to time if it thinks it is appropriate to do so.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deposit agreement provides that, to the extent available by the depositary, ADSs shall be evidenced by ADRs issued through DRS/Profile, unless certificated ADRs are specifically requested by the ADS holder. DRS is the system administered by DTC pursuant to which the depositary may register the ownership of uncertificated ADSs, which ownership shall be evidenced by periodic statements issued by the depositary to the ADS holders entitled thereto. The Profile Modification System, or Profile, is a required feature of DRS which allows a DTC participant, claiming to act on behalf of an ADS holder, to direct the depositary to register a transfer of those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ADSs to DTC or its nominee and to deliver those ADSs to the DTC account of that DTC participant without receipt by the depositary of prior authorization from the ADS holder to register such transfer.</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verify, determine or otherwise ascertain that the DTC participant claiming to be acting on behalf of an ADS holder in requesting registration of transfer and delivery described in the paragraph above has the actual authority to act on behalf of the ADS holder (notwithstanding any requirements under the Uniform Commercial Code).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SALES</w:t>
      </w:r>
    </w:p>
    <w:p>
      <w:pPr>
        <w:spacing w:after="0" w:line="121"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Upon completion of this offering, we will have 16,000,000 ADSs outstanding, representing approximately 8.6% of our outstanding ordinary shares, assuming (i) the underwriters do not exercise their option to purchase additional ADSs, and (ii) we will issue and sell 8,888,888 Class A ordinary shares through the Concurrent Private Placement. All of the ADSs sold in this offering will be freely transferable by persons other than by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Our ADSs have been approved for listing on the NASDAQ Global Select Market, but we cannot assure you that a regular trading market will develop in the ADSs. We do not expect that a trading market will develop for our ordinary shares not represented by the ADSs.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agreed, for a period of 180 days after the date of this prospectus, not to (i) offer, pledge, sell, contract to sell, sell any option or contract to purchase, purchase any option or contract to sell, grant any option, right or warrant to purchase, lend, or otherwise transfer or dispose of, directly or indirectly, except in this offering, any of our ordinary shares, preferred shares or ADSs or securities that are convertible into or exercisable or exchangeable for our ordinary shares, preferred shares or ADSs, or (ii) enter into any swap or other arrangement that transfers to another, in whole or in part, any of the economic consequences of ownership of our ordinary shares, preferred shares or ADSs, whether any such transaction is to be settled by delivery of our ordinary shares, preferred shares or ADS, or any other securities of our company, without the prior written consent of the representatives of the underwriters, subject to certain exceptions.</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Furthermore, each of our directors, executive officers, existing shareholders, certain option holders and the Concurrent Private Placement investors has also entered into a similar lock-up agreement for a period of 180 days from the date of this prospectus, subject to certain exceptions. These restrictions also apply to any ADSs acquired by our directors and executive officers in the offering pursuant to the directed share program, if any. These parties collectively own all of our outstanding ordinary shares, without giving effect to this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preceding paragraphs will be automatically extended under certain circumstances. See “Underwriting.”</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foreign issuer as defined in Regulation S. As a foreign issuer, securities that we sell outside the United States pursuant to Regulation S are not considered to be restricted securities under the Securities Act, and are freely tradable without registration or restrictions under the Securities Act, unless the securities are held by our affiliates. Generally, subject to certain limitations, holders of our restricted shares who are not our affiliates or who are our affiliates solely by virtue of their status as an officer or director of us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us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us other than by virtue of his or her status as an officer or director of us.</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are not claiming the potential exemption offered by Regulation S in connection with the offering of newly issued shares outside the United States and will register all of the newly issued shares under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All of our ordinary shares that will be outstanding upon the completion of this offering, other than those Class A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87" w:lineRule="exact"/>
        <w:rPr>
          <w:sz w:val="20"/>
          <w:szCs w:val="20"/>
          <w:color w:val="auto"/>
        </w:rPr>
      </w:pPr>
    </w:p>
    <w:p>
      <w:pPr>
        <w:ind w:left="900" w:right="6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which immediately after this offering will equal 2,760,697 Class A ordinary shares, assuming (i) the underwriters do not exercise their over-allotment option and (ii) we will issue and sell 8,888,888 Class A ordinary shares through the Concurrent Private Placement; or</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Assuming there is no change to our register of members between the date of this prospectus and the expiration of the lock-up agreements (other than to give effect to this offering), we expect that as of the date of expiration of the lock-up agreements, 213,844,010 Class A ordinary shares and 96,886,370 Class B ordinary shares will be available for sale under Rule 144 by our current affiliates (subject to volume and manner of sale limitations under Rule 144) and 30,225,730 Class A ordinary shares will be available for sale under Rule 144 by our current non-affiliates (including 8,888,888 Class A ordinary shares we will issue in the Concurrent Private Placement, which number of shares has been calculated based on an assumed initial offering price of US$13.50 per ADS, the midpoint of the estimated offering price range shown on the front cover page of this prospectus).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240" w:top="459" w:right="4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following summary of the material Cayman Islands, PRC and United States federal income tax consequences of an investment in our ADSs or ordinary shares is based upon laws and relevant interpretations thereof in effect as of the date of this registration statement, all of which are subject to change. This summary does not deal with all possible tax consequences relating to an investment in our ADSs or ordinary shares, such as the tax consequences under U.S. state and local tax laws or under the tax laws of jurisdictions other than the Cayman Islands, the People’s Republic of China and the United States. To the extent that the discussion relates to matters of Cayman Islands tax law, it represents the opinion of Maples and Calder, our special Cayman Islands counsel; to the extent it relates to PRC tax law, it is the opinion of Han Kun Law Offices, our special PRC counsel.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Under the PRC Enterprise Income Tax Law, or the EIT Law, which became effective on January 1, 2008, an enterprise established outside the PRC with “de facto management bodies” within the PRC is considered a “resident enterprise” for PRC enterprise income tax purposes and is generally subject to a uniform 25% enterprise income tax rate on its worldwide income.</w:t>
      </w:r>
    </w:p>
    <w:p>
      <w:pPr>
        <w:spacing w:after="0" w:line="181"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On April 22, 2009, the State Administration of Taxation, or the SAT, issued the Notice Regarding the Determination of Chinese-Controlled Overseas Incorporated Enterprises as PRC Tax Resident Enterprise on the Basis of De Facto Management Bodies, or SAT Circular 82, which provides certain specific criteria for determining whether the “de facto management body” of a PRC controlled enterprise that is incorporated offshore is located in China. Further to SAT Circular 82, on July 27, 2011, the SAT issued the Administrative Measures for Enterprise Income Tax of Chinese-Controlled Offshore Incorporated Resident Enterprises (Trial), or SAT Bulletin 45, to provide more guidance on the implementation of SAT Circular 82; the bulletin became effective on September 1, 2011. SAT Bulletin 45 clarified certain issues in the areas of resident status determination, post-determination administration and competent tax authorities procedures. According to SAT Circular 82, an offshore incorporated enterprise controlled by a PRC enterprise or a PRC enterprise group will be considered as a PRC tax resident enterprise by virtue of having its “de facto management body” in China only if all of the following conditions are met:</w:t>
      </w:r>
    </w:p>
    <w:p>
      <w:pPr>
        <w:spacing w:after="0" w:line="1" w:lineRule="exact"/>
        <w:rPr>
          <w:sz w:val="20"/>
          <w:szCs w:val="20"/>
          <w:color w:val="auto"/>
        </w:rPr>
      </w:pPr>
    </w:p>
    <w:p>
      <w:pPr>
        <w:ind w:right="40" w:firstLine="8"/>
        <w:spacing w:after="0" w:line="269" w:lineRule="auto"/>
        <w:tabs>
          <w:tab w:leader="none" w:pos="24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senior management and core management departments in charge of its daily operations function have their presence mainly in the PRC; (b) its financial and human resources decisions are subject to determination or approval by persons or bodies in the PRC; (c) its major assets, accounting books, company seals, and minutes and files of its board and shareholders’ meetings are located or kept in the PRC; and (d) more than half of the enterprise’s directors or senior management with voting rights habitually reside in the PRC. Although SAT Circular 82 and SAT Bulletin 45 only apply to offshore incorporated enterprises controlled by PRC enterprises or PRC enterprise groups and not those controlled by PRC individuals or foreigners, the determination criteria set forth therein may reflect the SAT’s general position on how the term “de facto management body” could be applied in determining the tax resident status of offshore enterprises, regardless of whether they are controlled by PRC enterprises, individuals or foreigners.</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do not believe Momo Inc. meets all of the criteria described above. We believe that none of Momo Inc. and its subsidiaries outside of China is a PRC tax resident enterprise, because none of them is controlled by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PRC enterprise or PRC enterprise group, and because their records (including the resolutions of its board of directors and the resolutions of shareholders) are maintained outside the PRC. However, as the tax resident status of an enterprise is subject to determination by the PRC tax authorities and uncertainties remain with respect to the interpretation of the term “de facto management body” when applied to our offshore entities, we may be considered as a resident enterprise and may therefore be subject to PRC enterprise income tax at 25% on our global income. In addition, if the PRC tax authorities determine that our company is a PRC resident enterprise for PRC enterprise income tax purposes, dividends paid by us to non-PRC holders may be subject to PRC withholding tax, and gains realized on the sale or other disposition of ADSs or ordinary shares may be subject to PRC tax, at a rate of 10% in the case of non-PRC enterprises or 20% in the case of non-PRC individuals (in each case, subject to the provisions of any applicable tax treaty), if such dividends or gains are deemed to be from PRC sources. Any such tax may reduce the returns on your investment in the ADSs.</w:t>
      </w:r>
    </w:p>
    <w:p>
      <w:pPr>
        <w:spacing w:after="0" w:line="16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we are considered a “non-resident enterprise” by the PRC tax authorities, the dividends paid to us by our PRC subsidiaries will be subject to a 10% withholding tax. The EIT Law also imposes a withholding income tax of 10% on dividends distributed by an foreign invested enterprise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our Company is incorporated does not have such tax treaty with China. Our US subsidiary is not an immediate holding company of any of our PRC Subsidiaries. Under the Arrangement Between the PRC and the Hong Kong Special Administrative Region on the Avoidance of Double Taxation and Prevention of Fiscal Evasion with Respect to Taxes on Income and Capital, the dividend withholding tax rate may be reduced to 5%, if a Hong Kong resident enterprise that receives a dividend is considered a non-PRC tax resident enterprise and holds at least 25% of the equity interests in the PRC enterprise distributing the dividends, subject to approval of the PRC local tax authority. However, if the Hong Kong resident enterprise is not considered to be the beneficial owner of such dividends under applicable PRC tax regulations, such dividends may remain subject to withholding tax at a rate of 10%. Accordingly, Momo Technology HK Company Limited may be able to enjoy the 5% withholding tax rate for the dividends it receives from its PRC subsidiaries if it satisfies the relevant conditions under tax rules and regulations, and obtains the approvals as required.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discussion is a summary of United States federal income tax considerations relating to the acquisition, ownership and disposition of our ADSs or ordinary shares by a U.S. Holder (as defined below) that acquires our ADSs in this offering and holds our ADSs as “capital assets” (generally, property held for investment) under the United States Internal Revenue Code of 1986, as amended, or the Code. This discussion is based upon existing United States federal tax law, which is subject to differing interpretations or change, possibly with retroactive effect. No ruling has been sought from the Internal Revenue Service, or the IRS, with respect to any United States federal income tax consequences described below, and there can be no assurance that the IRS or a court will not take a contrary position. This discussion does not discuss all aspects of United States federal income taxation that may be important to particular investors in light of their individual investment circumstances, including investors subject to special tax rules (including for example, financial institutions, insurance companies, regulated investment companies, real estate investment trusts, broker-dealers, traders in securities that elect mark-to-market treatment, tax-exempt organizations (including private foundations), holders who are not U.S. Holders, holders who own (directly, indirectly or constructively) 10% or more of our voting stock, holders who acquire their ADSs or ordinary shares pursuant to any employee share option or otherwise as compensation, investors that will hold their ADSs or ordinary shares as part of a straddle, hedge, conversion, constructive sale or other integrated transaction for United States federal income tax purposes, or investors that have a functional currency other than the United States dollar, all of whom may be subject to tax rules that differ significantly from those discussed below). This discussion, moreover, does not address the United States federal estate and gift tax or alternative minimum tax consequences of the acquisition or ownership of our ADSs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ordinary shares or the Medicare tax on net investment income. Each U.S. Holder is urged to consult its tax advisor regarding the United States federal, state, local and non-United States income and other tax considerations of an investment in our ADSs or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For purposes of this discussion, a “U.S. Holder” is a beneficial owner of our ADSs or ordinary shares that is, for United States federal income tax purposes, (i) an individual who is a citizen or resident of the United States, (ii) a corporation (or other entity treated as a corporation for United States federal income tax purposes) created in, or organized under the law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spacing w:after="0" w:line="165"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If a partnership (or other entity treated as a partnership for United States federal income tax purposes) is a beneficial owner of our ADSs or ordinary shares, the tax treatment of a partner in the partnership will generally depend upon the status of the partner and the activities of the partnership. Partnerships holding our ADSs or ordinary shares and their partners are urged to consult their tax advisors regarding an investment in our ADSs or ordinary shares.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United States federal income tax purposes, a U.S. Holder of ADSs will generally be treated as the beneficial owner of the underlying shares represented by the ADSs. Accordingly, deposits or withdrawals of ordinary shares for ADSs will generally not be subject to United States federal income tax. The United States Treasury has expressed concerns that parties to whom American depositary shares are released before shares are delivered to the depositary (a “pre-release transaction”), or intermediaries in the chain of ownership between holders of American depositary shares and the issuer of the security underlying the American depositary shares, may be taking actions that are inconsistent with the claiming of foreign tax credits by holders of American depositary shares. These actions would also be inconsistent with the claiming of the reduced rate of tax, described below, applicable to dividends received by certain non-corporate holders. Accordingly, the creditability of any PRC taxes, and the availability of the reduced tax rate for dividends received by certain non-corporate U.S. Holders, each described below, could be affected by actions taken by such parties or intermediaries in respect of a pre-release transaction.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 non-United States corporation, such as our company, will be classified as a PFIC, for United States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assets readily convertible into cash are categorized as a passive asset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Although the law in this regard is not entirely clear, we treat Beijing Momo as being owned by us for United States federal income tax purposes, because we control its management decisions and we are entitled to substantially all of the economic benefits associated with this entity, and, as a result, we consolidate the results of its operations in our consolidated U.S. GAAP financial statements. If it were determined, however, that we do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not own the stock of Beijing Momo for United States federal income tax purposes, we may be treated as a PFIC for the current taxable year and any subsequent taxable year.</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Based upon our current and projected income and assets, including the proceeds from this offering, and projections as to the value of our assets, based in part on the market value of our ADSs immediately following this offering, we do not expect to be a PFIC for the current taxable year or in the foreseeable future. While we do not anticipate being a PFIC, because the value of our assets for purposes of the asset test may be determined by reference to the market price of our ADSs, fluctuations in the market price of our ADSs may cause us to become a PFIC for the current or subsequent taxable years. In addition, the composition of our income and our assets will be affected by how, and how quickly, we spend our liquid assets and the cash raised in this offering. Under circumstances where we determine not to deploy significant amounts of cash for active purposes, our risk of becoming classified as a PFIC may substantially increase.</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Furthermore, because there are uncertainties in the application of the relevant rules, it is possible that the IRS may challenge our classification of certain income or assets as non-passive, or our valuation of our goodwill and other unbooked intangibles, each of which may result in our company becoming classified as a PFIC for the current or subsequent taxable years. For example, the IRS may challenge the classification of certain of our non-passive revenues as passive royalty income, which would result in a portion of our goodwill as being treated as a passive asset. Because determination of PFIC status is a fact-intensive inquiry made on an annual basis and will depend upon the composition of our assets and income, and the continued existence of our goodwill at that time, no assurance can be given that we are not or will not become classified as a PFIC. Our special United States counsel expresses no opinion with respect to our PFIC status and also expresses no opinion with respect to our expectations regarding our PFIC status. If we are classified as a PFIC for any year during which a U.S. Holder holds our ADSs or ordinary shares, we generally will continue to be treated as a PFIC for all succeeding years during which such U.S. Holder holds our ADSs or ordinary shares.</w:t>
      </w:r>
    </w:p>
    <w:p>
      <w:pPr>
        <w:spacing w:after="0" w:line="18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discussion below under “—Dividends” and “—Sale or Other Disposition of ADSs or Ordinary Shares” is written on the basis that we will not be classified as a PFIC for United States federal income tax purposes. The United States federal income tax rules that apply if we are treated as a PFIC are generally discussed below under “—Passive Foreign Investment Company Rules.”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Subject to the discussion below under “—Passive Foreign Investment Company Rules,” any cash distributions (including the amount of any PRC tax withheld) paid on our ADSs or ordinary shares out of our current or accumulated earnings and profits, as determined under United States federal income tax principles, will generally be includible in the gross income of a U.S. Holder as dividend income on the day actually or constructively received by the U.S.</w:t>
      </w:r>
    </w:p>
    <w:p>
      <w:pPr>
        <w:spacing w:after="0" w:line="267" w:lineRule="auto"/>
        <w:rPr>
          <w:sz w:val="20"/>
          <w:szCs w:val="20"/>
          <w:color w:val="auto"/>
        </w:rPr>
      </w:pPr>
      <w:r>
        <w:rPr>
          <w:rFonts w:ascii="Arial" w:cs="Arial" w:eastAsia="Arial" w:hAnsi="Arial"/>
          <w:sz w:val="17"/>
          <w:szCs w:val="17"/>
          <w:color w:val="auto"/>
        </w:rPr>
        <w:t>Holder, in the case of ordinary shares, or by the depositary, in the case of ADSs. Because we do not intend to determine our earnings and profits on the basis of United States federal income tax principles, any distribution we pay will generally be treated as a “dividend” for United States federal income tax purposes. A non-corporate U.S. Holder will be subject to tax on dividend income from a “qualified foreign corporation” at a lower applicable capital gains rate rather than the marginal tax rates generally applicable to ordinary income provided that certain holding period requirements are met. A non-United States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which the Secretary of Treasury of the United States determines is satisfactory for purposes of this provision and which includes an exchange of information program, or (ii) with respect to any dividend it pays on stock (or ADSs in respect of such stock) which is readily tradable on an established securities market in the United States. Our ADSs have been approved for listing on the NASDAQ Global Select Market, which is an established securities market in the United States, and the ADSs are expected to be readily tradable. Thus, the dividends we pay on our ADSs are expected to satisfy the conditions required for the reduced tax rates. Since we do not expect that our ordinary shares will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listed on an established securities market, it is unclear whether dividends that we pay on our ordinary shares that are not represented by ADSs will meet the conditions required for the reduced tax rate. There can be no assurance that our ADSs will continue to be considered readily tradable on an established securities market in later years. Dividends received on our ADSs or ordinary shares will not be eligible for the dividends received deduction allowed to corporations.</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that we are deemed to be a PRC resident enterprise under the PRC Enterprise Income Tax Law, a U.S. Holder may be subject to PRC withholding taxes on dividends paid on our ADSs or ordinary shares. We may, however, be eligible for the benefits of the United States-PRC income tax treaty. If we are eligible for such benefits, dividends we pay on our ordinary shares, regardless of whether such shares are represented by the ADSs, would be eligible for the reduced rates of taxation described in the preceding paragraph.</w:t>
      </w:r>
    </w:p>
    <w:p>
      <w:pPr>
        <w:spacing w:after="0" w:line="18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Dividends will generally be treated as income from foreign sources for United States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ADSs or ordinary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ADSs or Ordinary Shares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Rules,” a U.S. Holder will generally recognize capital gain or loss upon the sale or other disposition of ADSs or ordinary shares in an amount equal to the difference between the amount realized upon the disposition and the holder’s adjusted tax basis in such ADSs or ordinary shares. Any capital gain or loss will be long-term if the ADSs or ordinary shares have been held for more than one year and will generally be United States source gain or loss for United States foreign tax credit purposes. Long-term capital gains of non-corporate taxpayers are currently eligible for reduced rates taxation. In the event that gain from the disposition of the ADSs or ordinary shares is subject to tax in the PRC, such gain may be treated as PRC source gain under the United States-PRC income tax treaty. The deductibility of a capital loss may be subject to limitations. U.S. Holders are urged to consult their tax advisors regarding the tax consequences if a foreign tax is imposed on a disposition of our ADSs or ordinary shares, including the availability of the foreign tax credit under their particular circumstances.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are classified as a PFIC for any taxable year during which a U.S. Holder holds our ADSs or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a pledge, of ADSs or ordinary shares. Under the PFIC rules:</w:t>
      </w:r>
    </w:p>
    <w:p>
      <w:pPr>
        <w:spacing w:after="0" w:line="99"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ordinary shares;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on the tax attributable to each prior taxable year, other than a pre-PFIC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a PFIC for any taxable year during which a U.S. Holder holds our ADSs or ordinary shares and any of our subsidiaries is also a PFIC, such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 Holder would be treated as owning a proportionate amount (by value) of the shares of the lower-tier PFIC for purposes of the application of these rules.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Holders are urged to consult their tax advisors regarding the application of the PFIC rules to any of our subsidiaries.</w:t>
      </w:r>
    </w:p>
    <w:p>
      <w:pPr>
        <w:spacing w:after="0" w:line="21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As an alternative to the foregoing rules, a U.S. Holder of “marketable stock” in a PFIC may make a mark-to-market election with respect to such stock, provided that such stock is “regularly traded” within the meaning of applicable United States Treasury regulations. For those purposes, our ADSs, but not our ordinary shares will be treated as marketable stock upon their listing on the NASDAQ Global Select Market.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United States federal income tax purposes.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a U.S. Holder owns our ADSs or ordinary shares during any taxable year that we are a PFIC, the holder must generally file an annual IRS Form 8621 or such other form as is required by the United States Treasury Department. Each U.S. Holder is urged to consult its tax advisor concerning the United States federal income tax consequences of purchasing, holding and disposing ADSs or ordinary shares if we are or become treated as a PFIC, including the possibility of making a mark-to-market election, the “deemed sale” and “deemed dividend” elections and the unavailability of the election to treat us as a qualified electing fund.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w:t>
      </w:r>
    </w:p>
    <w:p>
      <w:pPr>
        <w:spacing w:after="0" w:line="11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Certain U.S. Holders are required to report information to the IRS relating to an interest in “specified foreign financial assets,” including shares issued by a non-United States corporation, for any year in which the aggregate value of all specified foreign financial assets exceeds US$50,000 (or a higher dollar amount prescribed by the IRS), subject to certain exceptions (including an exception for shares held in custodial accounts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maintained with a United States financial institution). These rules also impose penalties if a U.S. Holder is required to submit such information to the IRS and fails to do so.</w:t>
      </w:r>
    </w:p>
    <w:p>
      <w:pPr>
        <w:spacing w:after="0" w:line="170"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In addition, U.S. Holders may be subject to information reporting to the IRS with respect to dividends on and proceeds from the sale or other disposition of our ADSs or ordinary shares. Each U.S. Holder is advised to consult with its tax advisor regarding the application of the United States information reporting rules to their particular circumstances.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this prospectus, the underwriters named below, for whom Morgan Stanley &amp; Co. International plc, Credit Suisse Securities (USA) LLC, J.P. Morgan Securities LLC and China Renaissance Securities (Hong Kong) Limited are acting as representatives, have severally agreed to purchase, and we have agreed to sell to them, severally, the number of ADSs indicated below:</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ADSs</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Morgan Stanley &amp; Co. International plc</w:t>
            </w:r>
          </w:p>
        </w:tc>
        <w:tc>
          <w:tcPr>
            <w:tcW w:w="1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China Renaissance Securities (Hong Kong) Limited</w:t>
            </w:r>
          </w:p>
        </w:tc>
        <w:tc>
          <w:tcPr>
            <w:tcW w:w="19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including the absence of any material adverse change in our business and the receipt of certain certificates, opinions and letters from us, our counsel and the independent accountants. The underwriters are obligated, severally and not jointly, to take and pay for all of the ADSs offered by this prospectus if any such ADSs are taken. The underwriters are not required, however, to take or pay for the ADSs covered by the underwriters’ over-allotment option to purchase additional ADSs described below. Any offers or sales of the ADSs in the United States will be conducted by registered broker-dealers in the United States. China Renaissance Securities (Hong Kong) Limited will offer ADSs in the United States through its registered broker-dealer affiliate in the United States, China Renaissance Securities (US) Inc., acting as agent pursuant to a Rule 15a-6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ADSs directly to the public at the assumed initial public offering price listed on the cover page of</w:t>
      </w:r>
    </w:p>
    <w:p>
      <w:pPr>
        <w:spacing w:after="0" w:line="4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this prospectus and part to certain dealers at a price that represents a concession not in excess of US$ per ADS under the offering price. After the initial offering of the ADSs, the offering price and other selling terms may from time to time be varied by the representatives.</w:t>
      </w:r>
    </w:p>
    <w:p>
      <w:pPr>
        <w:spacing w:after="0" w:line="184" w:lineRule="exact"/>
        <w:rPr>
          <w:sz w:val="20"/>
          <w:szCs w:val="20"/>
          <w:color w:val="auto"/>
        </w:rPr>
      </w:pPr>
    </w:p>
    <w:p>
      <w:pPr>
        <w:ind w:right="140" w:firstLine="456"/>
        <w:spacing w:after="0" w:line="285"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an aggregate of 2,400,000 additional ADSs at the public offering price listed on the cover page of this prospectus less underwriting discounts and commissions. The underwriters may exercise this option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in the preceding table. If the</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underwriters’ option is exercised in full, the total price to the public would be US$ , the total underwriters’ discounts and commissions would be US$ and the total proceeds to us (before expenses) would be US$ .</w:t>
      </w:r>
    </w:p>
    <w:p>
      <w:pPr>
        <w:spacing w:after="0" w:line="1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table below shows the per ADS and total underwriting discounts and commissions that we will pay to the underwriters. The underwriting discounts and commissions are determined by negotiations among us and the underwriters and are a percentage of the offering price to the public. Among the factors considered in determining the discounts and commissions are the size of the offering, the nature of the security to be offered and the discounts and commissions charged in comparable transactions.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amounts are shown assuming both no exercise and full exercise of the underwriters’ option to purchase up to an additional 2,400,000 ADSs.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Underwriting Discounts and Commissions</w:t>
            </w:r>
          </w:p>
        </w:tc>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5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Total by us</w:t>
            </w:r>
          </w:p>
        </w:tc>
        <w:tc>
          <w:tcPr>
            <w:tcW w:w="1860" w:type="dxa"/>
            <w:vAlign w:val="bottom"/>
            <w:gridSpan w:val="2"/>
          </w:tcPr>
          <w:p>
            <w:pPr>
              <w:spacing w:after="0"/>
              <w:rPr>
                <w:sz w:val="20"/>
                <w:szCs w:val="20"/>
                <w:color w:val="auto"/>
              </w:rPr>
            </w:pPr>
            <w:r>
              <w:rPr>
                <w:rFonts w:ascii="Arial" w:cs="Arial" w:eastAsia="Arial" w:hAnsi="Arial"/>
                <w:sz w:val="18"/>
                <w:szCs w:val="18"/>
                <w:color w:val="auto"/>
              </w:rPr>
              <w:t>US$</w:t>
            </w:r>
          </w:p>
        </w:tc>
        <w:tc>
          <w:tcPr>
            <w:tcW w:w="900" w:type="dxa"/>
            <w:vAlign w:val="bottom"/>
            <w:gridSpan w:val="2"/>
          </w:tcPr>
          <w:p>
            <w:pPr>
              <w:spacing w:after="0"/>
              <w:rPr>
                <w:sz w:val="20"/>
                <w:szCs w:val="20"/>
                <w:color w:val="auto"/>
              </w:rPr>
            </w:pPr>
            <w:r>
              <w:rPr>
                <w:rFonts w:ascii="Arial" w:cs="Arial" w:eastAsia="Arial" w:hAnsi="Arial"/>
                <w:sz w:val="18"/>
                <w:szCs w:val="18"/>
                <w:color w:val="auto"/>
              </w:rPr>
              <w:t>US$</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informed us that they do not intend sales to discretionary accounts to exceed five percent of the total number of ADSs offered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them.</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total expenses of the offering payable by us, excluding underwriting discounts and commissions, will be approximately US$4.4 million. Expenses include the SEC and the Financial Industry Regulatory Authority, or FINRA, filing fees, the NASDAQ Global Select Market entry and listing fee, and printing, legal, accounting and miscellaneous expenses.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ADSs have been approved for listing on the NASDAQ Global Select Market under the symbol “MOMO.”</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have agreed that, without the prior written consent of the representatives, subject to certain exceptions, we and they will not, during the period ending 180 days after the date of this prospectus:</w:t>
      </w:r>
    </w:p>
    <w:p>
      <w:pPr>
        <w:spacing w:after="0" w:line="76" w:lineRule="exact"/>
        <w:rPr>
          <w:sz w:val="20"/>
          <w:szCs w:val="20"/>
          <w:color w:val="auto"/>
        </w:rPr>
      </w:pPr>
    </w:p>
    <w:p>
      <w:pPr>
        <w:ind w:left="900" w:right="40" w:hanging="325"/>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ordinary shares or ADSs; or</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ordinary shares, ADSs or any securities convertible into or exercisable or exchangeable for ordinary shares or ADSs (other than a registration statement on Form S-8),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whether any such transaction described above is to be settled by delivery of ordinary shares, ADSs, or such other securities, in cash or otherwise.</w:t>
      </w:r>
    </w:p>
    <w:p>
      <w:pPr>
        <w:spacing w:after="0" w:line="23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directors, executive officers, existing shareholders and certain option holders have agreed that, without the prior written consent of the representatives, such director, officer, shareholder or option holder, subject to certain exceptions, will not, during the period ending 180 days after the date of this prospectus:</w:t>
      </w:r>
    </w:p>
    <w:p>
      <w:pPr>
        <w:spacing w:after="0" w:line="87" w:lineRule="exact"/>
        <w:rPr>
          <w:sz w:val="20"/>
          <w:szCs w:val="20"/>
          <w:color w:val="auto"/>
        </w:rPr>
      </w:pPr>
    </w:p>
    <w:p>
      <w:pPr>
        <w:ind w:left="900" w:right="40" w:hanging="325"/>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 or</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ordinary shares or ADSs,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whether any such transaction described above is to be settled by delivery of ordinary shares, ADSs, or such other securities, in cash or otherwise.</w:t>
      </w:r>
    </w:p>
    <w:p>
      <w:pPr>
        <w:spacing w:after="0" w:line="23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Subject to compliance with the notification requirements under FINRA Rule 5131 applicable to lock-up agreements with our directors or officers, if the representatives, in their sole discretion, agree to release or waive the restrictions set forth in a lock-up agreement with one of our directors or officers, at least two business days before such release or waiver, one of the representatives will notify us of the impending release or waiver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announce the impending release or waiver through a major news service, except where the release or waiver is effected solely to permit a transfer of securities that is not for consideration and where the transferee has agreed in writing to be bound by the same lock-up agreement terms in place for the transferor. Currently, there are no agreements, understandings or intentions, tacit or explicit, to release any of the securities from the lock-up agreements prior to the expiration of the corresponding period.</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In addition, we have instructed Deutsche Bank Trust Company Americas, as depositary, not to accept any deposit of any ordinary shares or issue any ADSs for 180 days after the date of this prospectus (other than in connection with this offering), unless we instruct the depositary otherwise.</w:t>
      </w:r>
    </w:p>
    <w:p>
      <w:pPr>
        <w:spacing w:after="0" w:line="124"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Concurrently with, and subject to, the completion of this offering, Alibaba Investment Limited and 58.com Inc., both of which are non-US entities, have agreed to purchase from us, severally but not jointly, an aggregate of US$60.0 million in Class A ordinary shares at a price per share equal to the initial public offering price adjusted to reflect the ADS-to-ordinary share ratio. Assuming an initial offering price of US$13.5 per ADS, the midpoint of the estimated offering price range shown on the front cover page of this prospectus, these investors will purchase a total of 8,888,888 Class A ordinary shares from us. Our proposed issuance and sale of Class A ordinary shares to these investors are being made through private placements pursuant to an exemption from registration with the U.S. Securities and Exchange Commission under Regulation S of the Securities Act. Under the subscription agreements executed on November 28, 2014, the completion of this offering is the only substantive closing condition precedent for the concurrent private placement and if this offering is completed, the concurrent private placement will be completed concurrently. Both of these investors have agreed with the underwriters not to, directly or indirectly, sell, transfer or dispose of any Class A ordinary shares acquired in the private placements for a period of 180 days after the date of this prospectus, subject to certain exceptions.</w:t>
      </w:r>
    </w:p>
    <w:p>
      <w:pPr>
        <w:spacing w:after="0" w:line="17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Alibaba Investment Limited, one of our existing shareholders, has indicated to us its interest in purchasing up to US$10.0 million of ADSs offered in this offering at the initial public offering price and on the same terms as the other ADSs being offered in this offering. We and the underwriters are currently under no obligation to sell ADSs to Alibaba Investment Limited. The number of ADSs available for sale to the general public will be reduced to the extent that Alibaba Investment Limited purchases our ADSs.</w:t>
      </w:r>
    </w:p>
    <w:p>
      <w:pPr>
        <w:spacing w:after="0" w:line="18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To facilitate this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 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In addition, to stabilize the price of the ADSs, the underwriters may bid for, and purchase, ADSs in the open market. Finally, the underwriting syndicate may reclaim selling concessions allowed to an underwriter or a dealer for distributing the ADSs in this offering, if the syndicate repurchases previously distributed ADSs to cover syndicate short positions or to stabilize the price of the ADSs. Any of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From time to time, the underwriters may have provided, and may continue to provide, investment banking and other financial advisory services to us, our officers or our directors for which they have received or will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1"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liabilities incurred in connection with the directed share program referred to below. If we are unable to provide this indemnification, we will contribute to payments that the underwriters may be required to make for these liabilities.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At our request, the underwriters have reserved for sale, at the initial public offering price, up to ADSs offered by this prospectus to our directors, officers, employees, business associates and related persons. We will pay all fees and disbursements of counsel incurred by the underwriters in connection with offering the ADSs to such persons. Any sales to these persons will be made through a directed share program. The number of ADSs available for sale to the general public will be reduced to the extent such persons purchase such reserved ADSs. Any reserved ADSs not so purchased will be offered by the underwriters to the general public on the same basis as the other ADSs offered by this prospectus.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address of Morgan Stanley &amp; Co. International plc is 25 Cabot Square, Canary Wharf, London E14 4QA, United Kingdom. The address of Credit Suisse Securities (USA) LLC is Eleven Madison Avenue, New York, NY 10010, United States. The address of J.P. Morgan Securities LLC is 383 Madison Avenue, New York, New York 10179, United States of America. The address of China Renaissance Securities (Hong Kong) Limited is Unit 901, Agricultural Bank of China Tower, 50 Connaught Road Central, Central, Hong Kong.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ADSs</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 In addition, ADSs may be sold by the underwriters to securities dealers who resell ADSs to online brokerage account holders. Other than the prospectus in electronic format, the information on any underwriter’s or selling group member’s website and any information contained in any other website maintained by any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the ordinary shares or ADSs. The initial public offering price is determined by negotiations between us and the representatives. Among the factors considered in determining the initial public offering price are our future prospects and those of our industry in general, our sales, earnings, certain other financial and operating information in recent periods, the price-earnings ratios, price-sales ratios and market prices of securities and certain financial and operating information of companies engaged in activities similar to ours, the general condition of the securities markets at the time of this offering, the recent market prices of, and demand for, publicly traded ordinary share of generally comparable companies, and other factors deemed relevant by the representatives and us. Neither we nor the underwriters can assure investors that an active trading market will develop for the ADSs, or that the ADSs will trade in the public market at or above the initial public offering price.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 action has been taken in any jurisdiction (except in the United States) that would permit a public offering of the ADSs, or the possession, circulation or distribution of this prospectus or any other material relating to us or the ADSs in any jurisdiction where action for that purpose is required. Accordingly, the ADSs may not be offered or sold, directly or indirectly, and neither this prospectus nor any other offering material relating to the ADSs may be distributed or published, in or from any jurisdiction except under circumstances that will result in compliance with the applicable laws and regulations thereof.</w:t>
      </w:r>
    </w:p>
    <w:p>
      <w:pPr>
        <w:spacing w:after="0" w:line="154"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This prospectus is not a formal disclosure document and has not been, nor will be, lodged with the Australian Securities and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ADSs.</w:t>
      </w:r>
    </w:p>
    <w:p>
      <w:pPr>
        <w:spacing w:after="0" w:line="154"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The ADSs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ADSs has been, or will be, prepared.</w:t>
      </w:r>
    </w:p>
    <w:p>
      <w:pPr>
        <w:spacing w:after="0" w:line="16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This prospectus does not constitute an offer in Australia other than to wholesale clients. By submitting an application for the ADSs, you represent and warrant to us that you are a wholesale client for the purposes of section 761G of the Corporations Act 2001 (Australia). If any recipient of this prospectus is not a wholesale client, no offer of, or invitation to apply for, the ADSs shall be deemed to be made to such recipient and no applications for the ADSs will be accepted from such recipient. Any offer to a recipient in Australia, and any agreement arising from acceptance of such offer, is personal and may only be accepted by the recipient. In addition, by applying for the ADSs you undertake to us that, for a period of 12 months from the date of issue of the ADSs, you will not transfer any interest in the ADSs to any person in Australia other than to a wholesale client.</w:t>
      </w:r>
    </w:p>
    <w:p>
      <w:pPr>
        <w:spacing w:after="0" w:line="178"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Cayman Islands. </w:t>
      </w:r>
      <w:r>
        <w:rPr>
          <w:rFonts w:ascii="Arial" w:cs="Arial" w:eastAsia="Arial" w:hAnsi="Arial"/>
          <w:sz w:val="18"/>
          <w:szCs w:val="18"/>
          <w:color w:val="auto"/>
        </w:rPr>
        <w:t>This prospectus does not constitute a public offer of the ADSs or ordinary shares, whether by way of sale or subscription,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Cayman Islands. Each underwriter has represented and agreed that it has not offered or sold, and will not offer or sell, directly or indirectly, any ADSs or ordinary shares in the Cayman Islands.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European Economic Area. </w:t>
      </w:r>
      <w:r>
        <w:rPr>
          <w:rFonts w:ascii="Arial" w:cs="Arial" w:eastAsia="Arial" w:hAnsi="Arial"/>
          <w:sz w:val="18"/>
          <w:szCs w:val="18"/>
          <w:color w:val="auto"/>
        </w:rPr>
        <w:t>In relation to each Member State of the European Economic Area which has implemented the Prospectus Directive (each,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“Relevant Member State”) an offer to the public of any ADS may not be made in that Relevant Member State, except that an offer to the public in that Relevant Member State of any ADS may be made at any time under the following exemptions under the Prospectus Directive, if they have been implemented in that Relevant Member State:</w:t>
      </w:r>
    </w:p>
    <w:p>
      <w:pPr>
        <w:spacing w:after="0" w:line="92"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900" w:right="900" w:hanging="446"/>
        <w:spacing w:after="0" w:line="308"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ADS shall result in a requirement for the publication by us or any underwriter of a prospectus pursuant to Article 3 of the Prospectus Directive.</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the purposes of this provision, the expression an “offer of ADSs to the public” in relation to any ADS in any Relevant Member State means the communication in any form and by any means of sufficient information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the terms of the offer and any ADS to be offered so as to enable an investor to decide to purchase any ADS,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54"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b w:val="1"/>
          <w:bCs w:val="1"/>
          <w:i w:val="1"/>
          <w:iCs w:val="1"/>
          <w:color w:val="auto"/>
        </w:rPr>
        <w:t xml:space="preserve">Japan. </w:t>
      </w:r>
      <w:r>
        <w:rPr>
          <w:rFonts w:ascii="Arial" w:cs="Arial" w:eastAsia="Arial" w:hAnsi="Arial"/>
          <w:sz w:val="18"/>
          <w:szCs w:val="18"/>
          <w:color w:val="auto"/>
        </w:rPr>
        <w:t>The underwriters will not offer or sell any of the ADSs directly or indirectly in Japan or to, or for the benefit of any Japanese person 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Hong Kong. </w:t>
      </w:r>
      <w:r>
        <w:rPr>
          <w:rFonts w:ascii="Arial" w:cs="Arial" w:eastAsia="Arial" w:hAnsi="Arial"/>
          <w:sz w:val="16"/>
          <w:szCs w:val="16"/>
          <w:color w:val="auto"/>
        </w:rPr>
        <w:t>The underwriters and each of their affiliates have not (i) offered or sold, and will not offer or sell, in Hong Kong, by means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 the ADSs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(ii) issued or had in its possession for the purposes of issue, and will not issue or have in its possession for the purposes of issue, whether in Hong Kong or elsewhere any advertisement, invitation or document relating to the ADSs which is directed at, or the contents of which are likely to be accessed or read by, the public in Hong Kong (except if permitted to do so under the securities laws of Hong Kong) other than with respect to the ADSs which are or are intended to be disposed of only to persons outside Hong Kong or only to “professional investors” as defined in the Securities and Futures Ordinance or any rules made under that Ordinance.</w:t>
      </w:r>
    </w:p>
    <w:p>
      <w:pPr>
        <w:spacing w:after="0" w:line="16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b w:val="1"/>
          <w:bCs w:val="1"/>
          <w:i w:val="1"/>
          <w:iCs w:val="1"/>
          <w:color w:val="auto"/>
        </w:rPr>
        <w:t xml:space="preserve">Singapore. </w:t>
      </w:r>
      <w:r>
        <w:rPr>
          <w:rFonts w:ascii="Arial" w:cs="Arial" w:eastAsia="Arial" w:hAnsi="Arial"/>
          <w:sz w:val="18"/>
          <w:szCs w:val="18"/>
          <w:color w:val="auto"/>
        </w:rPr>
        <w:t>This prospectus or any other offering material relating to the ADSs has not been registered as a prospectus with the Monetary Authority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Singapore under the Securities and Futures Act, Chapter 289 of Singapore, or the SFA. Accordingly, the underwriters have severally represented, warranted and agreed that (a) they have not offered or sold any of the ADSs or caused the ADSs to be made the subject of an invitation for subscription or purchase and it will not offer or sell any of the ADSs or cause the ADSs to be made the subject of an invitation for subscription or purchase, and (b) they have not circulated or distributed, and they will not circulate or distribute, this prospectus and any other document or material in connection with the offer or sale, or invitation for subscription or purchase, of the ADSs, whether directly or indirectly, to the public or any member of the public in Singapore other than (i) to an institutional investor as specified in Section 274 of the SFA, (ii) to a relevant person (as defined in Section 275 of the SFA) and in accordance with the conditions specified in Section 275 of the SFA or (iii) otherwise pursuant to, and in accordance with the conditions of, any other applicable provision of the SFA.</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r>
        <w:rPr>
          <w:rFonts w:ascii="Arial" w:cs="Arial" w:eastAsia="Arial" w:hAnsi="Arial"/>
          <w:sz w:val="18"/>
          <w:szCs w:val="18"/>
          <w:color w:val="auto"/>
        </w:rPr>
        <w:t>. Each underwriter has represented and agreed that:</w:t>
      </w:r>
    </w:p>
    <w:p>
      <w:pPr>
        <w:spacing w:after="0" w:line="131" w:lineRule="exact"/>
        <w:rPr>
          <w:sz w:val="20"/>
          <w:szCs w:val="20"/>
          <w:color w:val="auto"/>
        </w:rPr>
      </w:pPr>
    </w:p>
    <w:p>
      <w:pPr>
        <w:ind w:left="900" w:right="60" w:hanging="446"/>
        <w:spacing w:after="0" w:line="31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21(1) of the FSMA does not apply to us; and</w:t>
      </w:r>
    </w:p>
    <w:p>
      <w:pPr>
        <w:spacing w:after="0" w:line="52"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ADSs in, from or otherwise involving the United Kingdom.</w:t>
      </w:r>
    </w:p>
    <w:p>
      <w:pPr>
        <w:spacing w:after="0" w:line="166"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i w:val="1"/>
          <w:iCs w:val="1"/>
          <w:color w:val="auto"/>
        </w:rPr>
        <w:t>People’s Republic of China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prospectus may not be circulated or distributed in the PRC and the ADSs may not be offered or sold, and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or sell to any person for re-offering or resale directly or indirectly to any resident of the PRC except pursuant to applicable laws and regulations of the PRC.</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RELATED TO THIS OFFERING</w:t>
      </w:r>
    </w:p>
    <w:p>
      <w:pPr>
        <w:spacing w:after="0" w:line="229"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Set forth below is an itemization of the total expenses, excluding underwriting discount, that we expect to incur in connection with this offering. With the exception of the SEC registration fee, the Financial Industry Regulatory Authority, or FINRA, filing fee, and the NASDAQ Global Select Market entry and listing fee, all amounts are estimates.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31,003</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FINRA Fee</w:t>
            </w: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40,520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NASDAQ Global Select Market Entry and Listing Fee</w:t>
            </w:r>
          </w:p>
        </w:tc>
        <w:tc>
          <w:tcPr>
            <w:tcW w:w="5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1,750,000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840,000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970,000</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562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$4,356,523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620" w:type="dxa"/>
            <w:vAlign w:val="bottom"/>
            <w:vMerge w:val="restart"/>
          </w:tcPr>
          <w:p>
            <w:pPr>
              <w:jc w:val="right"/>
              <w:ind w:right="4450"/>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6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being represented by Skadden, Arps, Slate, Meagher &amp; Flom LLP with respect to certain legal matters as to United States federal securities and New York State law. The underwriters are being represented by Kirkland &amp; Ellis International LLP with respect to certain legal matters as to United States federal securities and New York State law. The validity of the Class A ordinary shares represented by the ADSs offered in this offering will be passed upon for us by Maples and Calder. Certain legal matters as to PRC law will be passed upon for us by Han Kun Law Offices and for the underwriters by King &amp; Wood Mallesons. Skadden, Arps, Slate, Meagher &amp; Flom LLP may rely upon Maples and Calder with respect to matters governed by Cayman Islands law and Han Kun Law Offices with respect to matters governed by PRC law. Kirkland &amp; Ellis International LLP may rely upon King &amp; Wood Mallesons with respect to matters governed by PRC law.</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40"/>
          </w:cols>
          <w:pgMar w:left="240" w:top="460" w:right="3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financial statements as of December 31, 2012 and 2013, and for each of the two years in the period ended December 31, 2013, included in this prospectus and the related financial statement schedule included elsewhere in the Registration Statement, have been audited by Deloitte Touche Tohmatsu Certified Public Accountants LLP, an independent registered public accounting firm, as stated in their report appearing herein and elsewhere in the Registration Statement. Such financial statements and financial statement schedule have been so included in reliance upon the report of such firm given upon their authority as experts in accounting and auditing.</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office of Deloitte Touche Tohmatsu Certified Public Accountants LLP is located at 8/F, W2 Tower, The Towers, Oriental Plaza, 1 East Chang An Avenue, Beijing 100738, the People’s Republic of China.</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20"/>
          </w:cols>
          <w:pgMar w:left="240" w:top="460"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CONTENTS</w:t>
      </w:r>
    </w:p>
    <w:p>
      <w:pPr>
        <w:spacing w:after="0" w:line="21" w:lineRule="exact"/>
        <w:rPr>
          <w:sz w:val="20"/>
          <w:szCs w:val="20"/>
          <w:color w:val="auto"/>
        </w:rPr>
      </w:pPr>
    </w:p>
    <w:p>
      <w:pPr>
        <w:ind w:right="3840"/>
        <w:spacing w:after="0" w:line="272" w:lineRule="auto"/>
        <w:rPr>
          <w:rFonts w:ascii="Arial" w:cs="Arial" w:eastAsia="Arial" w:hAnsi="Arial"/>
          <w:sz w:val="17"/>
          <w:szCs w:val="17"/>
          <w:u w:val="single" w:color="auto"/>
          <w:color w:val="0000EE"/>
        </w:rPr>
      </w:pPr>
      <w:hyperlink w:anchor="page186">
        <w:r>
          <w:rPr>
            <w:rFonts w:ascii="Arial" w:cs="Arial" w:eastAsia="Arial" w:hAnsi="Arial"/>
            <w:sz w:val="17"/>
            <w:szCs w:val="17"/>
            <w:u w:val="single" w:color="auto"/>
            <w:color w:val="0000EE"/>
          </w:rPr>
          <w:t>REPORT OF INDEPENDENT REGISTERED PUBLIC ACCOUNTING FIRM</w:t>
        </w:r>
      </w:hyperlink>
      <w:r>
        <w:rPr>
          <w:rFonts w:ascii="Arial" w:cs="Arial" w:eastAsia="Arial" w:hAnsi="Arial"/>
          <w:sz w:val="17"/>
          <w:szCs w:val="17"/>
          <w:u w:val="single" w:color="auto"/>
          <w:color w:val="0000EE"/>
        </w:rPr>
        <w:t xml:space="preserve"> </w:t>
      </w:r>
      <w:hyperlink w:anchor="page187">
        <w:r>
          <w:rPr>
            <w:rFonts w:ascii="Arial" w:cs="Arial" w:eastAsia="Arial" w:hAnsi="Arial"/>
            <w:sz w:val="17"/>
            <w:szCs w:val="17"/>
            <w:u w:val="single" w:color="auto"/>
            <w:color w:val="0000EE"/>
          </w:rPr>
          <w:t>CONSOLIDATED BALANCE SHEETS AS OF DECEMBER 31, 2012 AND 2013</w:t>
        </w:r>
      </w:hyperlink>
    </w:p>
    <w:p>
      <w:pPr>
        <w:spacing w:after="0" w:line="1" w:lineRule="exact"/>
        <w:rPr>
          <w:sz w:val="20"/>
          <w:szCs w:val="20"/>
          <w:color w:val="auto"/>
        </w:rPr>
      </w:pPr>
    </w:p>
    <w:p>
      <w:pPr>
        <w:ind w:right="160"/>
        <w:spacing w:after="0" w:line="265" w:lineRule="auto"/>
        <w:rPr>
          <w:rFonts w:ascii="Arial" w:cs="Arial" w:eastAsia="Arial" w:hAnsi="Arial"/>
          <w:sz w:val="17"/>
          <w:szCs w:val="17"/>
          <w:u w:val="single" w:color="auto"/>
          <w:color w:val="0000EE"/>
        </w:rPr>
      </w:pPr>
      <w:hyperlink w:anchor="page189">
        <w:r>
          <w:rPr>
            <w:rFonts w:ascii="Arial" w:cs="Arial" w:eastAsia="Arial" w:hAnsi="Arial"/>
            <w:sz w:val="17"/>
            <w:szCs w:val="17"/>
            <w:u w:val="single" w:color="auto"/>
            <w:color w:val="0000EE"/>
          </w:rPr>
          <w:t>CONSOLIDATED STATEMENTS OF OPERATIONS FOR THE YEARS ENDED DECEMBER 31, 2012 AND 2013</w:t>
        </w:r>
      </w:hyperlink>
      <w:r>
        <w:rPr>
          <w:rFonts w:ascii="Arial" w:cs="Arial" w:eastAsia="Arial" w:hAnsi="Arial"/>
          <w:sz w:val="17"/>
          <w:szCs w:val="17"/>
          <w:u w:val="single" w:color="auto"/>
          <w:color w:val="0000EE"/>
        </w:rPr>
        <w:t xml:space="preserve"> </w:t>
      </w:r>
      <w:hyperlink w:anchor="page190">
        <w:r>
          <w:rPr>
            <w:rFonts w:ascii="Arial" w:cs="Arial" w:eastAsia="Arial" w:hAnsi="Arial"/>
            <w:sz w:val="17"/>
            <w:szCs w:val="17"/>
            <w:u w:val="single" w:color="auto"/>
            <w:color w:val="0000EE"/>
          </w:rPr>
          <w:t>CONSOLIDATED STATEMENTS OF COMPREHENSIVE LOSS FOR THE YEARS ENDED DECEMBER 31, 2012 AND 2013</w:t>
        </w:r>
      </w:hyperlink>
      <w:r>
        <w:rPr>
          <w:rFonts w:ascii="Arial" w:cs="Arial" w:eastAsia="Arial" w:hAnsi="Arial"/>
          <w:sz w:val="17"/>
          <w:szCs w:val="17"/>
          <w:u w:val="single" w:color="auto"/>
          <w:color w:val="0000EE"/>
        </w:rPr>
        <w:t xml:space="preserve"> </w:t>
      </w:r>
      <w:hyperlink w:anchor="page191">
        <w:r>
          <w:rPr>
            <w:rFonts w:ascii="Arial" w:cs="Arial" w:eastAsia="Arial" w:hAnsi="Arial"/>
            <w:sz w:val="17"/>
            <w:szCs w:val="17"/>
            <w:u w:val="single" w:color="auto"/>
            <w:color w:val="0000EE"/>
          </w:rPr>
          <w:t>CONSOLIDATED STATEMENTS OF CHANGES IN EQUITY (DEFICIT) FOR THE YEARS ENDED DECEMBER 31, 2012 AND</w:t>
        </w:r>
      </w:hyperlink>
    </w:p>
    <w:p>
      <w:pPr>
        <w:spacing w:after="0" w:line="1" w:lineRule="exact"/>
        <w:rPr>
          <w:rFonts w:ascii="Arial" w:cs="Arial" w:eastAsia="Arial" w:hAnsi="Arial"/>
          <w:sz w:val="17"/>
          <w:szCs w:val="17"/>
          <w:u w:val="single" w:color="auto"/>
          <w:color w:val="0000EE"/>
        </w:rPr>
      </w:pPr>
    </w:p>
    <w:p>
      <w:pPr>
        <w:ind w:left="18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2013</w:t>
        </w:r>
      </w:hyperlink>
    </w:p>
    <w:p>
      <w:pPr>
        <w:spacing w:after="0" w:line="9" w:lineRule="exact"/>
        <w:rPr>
          <w:rFonts w:ascii="Arial" w:cs="Arial" w:eastAsia="Arial" w:hAnsi="Arial"/>
          <w:sz w:val="17"/>
          <w:szCs w:val="17"/>
          <w:u w:val="single" w:color="auto"/>
          <w:color w:val="0000EE"/>
        </w:rPr>
      </w:pPr>
    </w:p>
    <w:p>
      <w:pPr>
        <w:ind w:right="800"/>
        <w:spacing w:after="0" w:line="255" w:lineRule="auto"/>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CONSOLIDATED STATEMENTS OF CASH FLOWS FOR THE YEARS ENDED DECEMBER 31, 2012 AND 2013</w:t>
        </w:r>
      </w:hyperlink>
      <w:r>
        <w:rPr>
          <w:rFonts w:ascii="Arial" w:cs="Arial" w:eastAsia="Arial" w:hAnsi="Arial"/>
          <w:sz w:val="18"/>
          <w:szCs w:val="18"/>
          <w:u w:val="single" w:color="auto"/>
          <w:color w:val="0000EE"/>
        </w:rPr>
        <w:t xml:space="preserve"> </w:t>
      </w:r>
      <w:hyperlink w:anchor="page193">
        <w:r>
          <w:rPr>
            <w:rFonts w:ascii="Arial" w:cs="Arial" w:eastAsia="Arial" w:hAnsi="Arial"/>
            <w:sz w:val="18"/>
            <w:szCs w:val="18"/>
            <w:u w:val="single" w:color="auto"/>
            <w:color w:val="0000EE"/>
          </w:rPr>
          <w:t>NOTES TO CONSOLIDATED FINANCIAL STATEMENTS FOR THE YEARS ENDED DECEMBER 31, 2012 AND 2013</w:t>
        </w:r>
      </w:hyperlink>
      <w:r>
        <w:rPr>
          <w:rFonts w:ascii="Arial" w:cs="Arial" w:eastAsia="Arial" w:hAnsi="Arial"/>
          <w:sz w:val="18"/>
          <w:szCs w:val="18"/>
          <w:u w:val="single" w:color="auto"/>
          <w:color w:val="0000EE"/>
        </w:rPr>
        <w:t xml:space="preserve"> </w:t>
      </w:r>
      <w:hyperlink w:anchor="page226">
        <w:r>
          <w:rPr>
            <w:rFonts w:ascii="Arial" w:cs="Arial" w:eastAsia="Arial" w:hAnsi="Arial"/>
            <w:sz w:val="18"/>
            <w:szCs w:val="18"/>
            <w:u w:val="single" w:color="auto"/>
            <w:color w:val="0000EE"/>
          </w:rPr>
          <w:t>ADDITIONAL INFORMATION - FINANCIAL STATEMENT SCHEDULE I</w:t>
        </w:r>
      </w:hyperlink>
    </w:p>
    <w:p>
      <w:pPr>
        <w:spacing w:after="0" w:line="294" w:lineRule="exact"/>
        <w:rPr>
          <w:rFonts w:ascii="Arial" w:cs="Arial" w:eastAsia="Arial" w:hAnsi="Arial"/>
          <w:sz w:val="18"/>
          <w:szCs w:val="18"/>
          <w:u w:val="single" w:color="auto"/>
          <w:color w:val="0000EE"/>
        </w:rPr>
      </w:pPr>
    </w:p>
    <w:p>
      <w:pPr>
        <w:jc w:val="center"/>
        <w:ind w:left="1540"/>
        <w:spacing w:after="0"/>
        <w:rPr>
          <w:sz w:val="20"/>
          <w:szCs w:val="20"/>
          <w:color w:val="auto"/>
        </w:rPr>
      </w:pPr>
      <w:r>
        <w:rPr>
          <w:rFonts w:ascii="Arial" w:cs="Arial" w:eastAsia="Arial" w:hAnsi="Arial"/>
          <w:sz w:val="18"/>
          <w:szCs w:val="18"/>
          <w:b w:val="1"/>
          <w:bCs w:val="1"/>
          <w:color w:val="auto"/>
        </w:rPr>
        <w:t>INDEX TO UNAUDITED CONDENSED CONSOLIDATED FINANCIAL STATEMENTS</w:t>
      </w:r>
    </w:p>
    <w:p>
      <w:pPr>
        <w:spacing w:after="0" w:line="27" w:lineRule="exact"/>
        <w:rPr>
          <w:rFonts w:ascii="Arial" w:cs="Arial" w:eastAsia="Arial" w:hAnsi="Arial"/>
          <w:sz w:val="18"/>
          <w:szCs w:val="18"/>
          <w:u w:val="single" w:color="auto"/>
          <w:color w:val="0000EE"/>
        </w:rPr>
      </w:pPr>
    </w:p>
    <w:p>
      <w:pPr>
        <w:jc w:val="center"/>
        <w:ind w:left="1540"/>
        <w:spacing w:after="0"/>
        <w:rPr>
          <w:sz w:val="20"/>
          <w:szCs w:val="20"/>
          <w:color w:val="auto"/>
        </w:rPr>
      </w:pPr>
      <w:r>
        <w:rPr>
          <w:rFonts w:ascii="Arial" w:cs="Arial" w:eastAsia="Arial" w:hAnsi="Arial"/>
          <w:sz w:val="18"/>
          <w:szCs w:val="18"/>
          <w:b w:val="1"/>
          <w:bCs w:val="1"/>
          <w:color w:val="auto"/>
        </w:rPr>
        <w:t>FOR THE NINE-MONTH PERIODS ENDED SEPTEMBER 30, 2013 AND 2014</w:t>
      </w:r>
    </w:p>
    <w:p>
      <w:pPr>
        <w:spacing w:after="0" w:line="238" w:lineRule="exact"/>
        <w:rPr>
          <w:rFonts w:ascii="Arial" w:cs="Arial" w:eastAsia="Arial" w:hAnsi="Arial"/>
          <w:sz w:val="18"/>
          <w:szCs w:val="18"/>
          <w:u w:val="single" w:color="auto"/>
          <w:color w:val="0000EE"/>
        </w:rPr>
      </w:pPr>
    </w:p>
    <w:p>
      <w:pPr>
        <w:ind w:right="240"/>
        <w:spacing w:after="0" w:line="274" w:lineRule="auto"/>
        <w:rPr>
          <w:rFonts w:ascii="Arial" w:cs="Arial" w:eastAsia="Arial" w:hAnsi="Arial"/>
          <w:sz w:val="17"/>
          <w:szCs w:val="17"/>
          <w:u w:val="single" w:color="auto"/>
          <w:color w:val="0000EE"/>
        </w:rPr>
      </w:pPr>
      <w:hyperlink w:anchor="page232">
        <w:r>
          <w:rPr>
            <w:rFonts w:ascii="Arial" w:cs="Arial" w:eastAsia="Arial" w:hAnsi="Arial"/>
            <w:sz w:val="17"/>
            <w:szCs w:val="17"/>
            <w:u w:val="single" w:color="auto"/>
            <w:color w:val="0000EE"/>
          </w:rPr>
          <w:t>UNAUDITED CONDENSED CONSOLIDATED BALANCE SHEETS AS OF DECEMBER 31, 2013 AND SEPTEMBER 30, 2014</w:t>
        </w:r>
      </w:hyperlink>
      <w:r>
        <w:rPr>
          <w:rFonts w:ascii="Arial" w:cs="Arial" w:eastAsia="Arial" w:hAnsi="Arial"/>
          <w:sz w:val="17"/>
          <w:szCs w:val="17"/>
          <w:u w:val="single" w:color="auto"/>
          <w:color w:val="0000EE"/>
        </w:rPr>
        <w:t xml:space="preserve"> </w:t>
      </w:r>
      <w:hyperlink w:anchor="page234">
        <w:r>
          <w:rPr>
            <w:rFonts w:ascii="Arial" w:cs="Arial" w:eastAsia="Arial" w:hAnsi="Arial"/>
            <w:sz w:val="17"/>
            <w:szCs w:val="17"/>
            <w:u w:val="single" w:color="auto"/>
            <w:color w:val="0000EE"/>
          </w:rPr>
          <w:t>UNAUDITED CONDENSED CONSOLIDATED STATEMENTS OF OPERATIONS FOR THE NINE-MONTH PERIODS ENDED</w:t>
        </w:r>
      </w:hyperlink>
    </w:p>
    <w:p>
      <w:pPr>
        <w:ind w:left="18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SEPTEMBER 30, 2013 AND 2014</w:t>
        </w:r>
      </w:hyperlink>
    </w:p>
    <w:p>
      <w:pPr>
        <w:spacing w:after="0" w:line="9" w:lineRule="exact"/>
        <w:rPr>
          <w:sz w:val="20"/>
          <w:szCs w:val="20"/>
          <w:color w:val="auto"/>
        </w:rPr>
      </w:pPr>
    </w:p>
    <w:p>
      <w:pPr>
        <w:ind w:left="180" w:hanging="179"/>
        <w:spacing w:after="0" w:line="250" w:lineRule="auto"/>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UNAUDITED CONDENSED CONSOLIDATED STATEMENTS OF COMPREHENSIVE LOSS FOR THE NINE-MONTH PERIODS</w:t>
        </w:r>
      </w:hyperlink>
      <w:r>
        <w:rPr>
          <w:rFonts w:ascii="Arial" w:cs="Arial" w:eastAsia="Arial" w:hAnsi="Arial"/>
          <w:sz w:val="18"/>
          <w:szCs w:val="18"/>
          <w:u w:val="single" w:color="auto"/>
          <w:color w:val="0000EE"/>
        </w:rPr>
        <w:t xml:space="preserve"> </w:t>
      </w:r>
      <w:hyperlink w:anchor="page235">
        <w:r>
          <w:rPr>
            <w:rFonts w:ascii="Arial" w:cs="Arial" w:eastAsia="Arial" w:hAnsi="Arial"/>
            <w:sz w:val="18"/>
            <w:szCs w:val="18"/>
            <w:u w:val="single" w:color="auto"/>
            <w:color w:val="0000EE"/>
          </w:rPr>
          <w:t>ENDED SEPTEMBER 30, 2013 AND 2014</w:t>
        </w:r>
      </w:hyperlink>
    </w:p>
    <w:p>
      <w:pPr>
        <w:spacing w:after="0" w:line="1" w:lineRule="exact"/>
        <w:rPr>
          <w:sz w:val="20"/>
          <w:szCs w:val="20"/>
          <w:color w:val="auto"/>
        </w:rPr>
      </w:pPr>
    </w:p>
    <w:p>
      <w:pPr>
        <w:ind w:left="180" w:right="140" w:hanging="179"/>
        <w:spacing w:after="0" w:line="250" w:lineRule="auto"/>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UNAUDITED CONDENSED CONSOLIDATED STATEMENTS OF CHANGES IN EQUITY (DEFICIT) FOR THE NINE-MONTH</w:t>
        </w:r>
      </w:hyperlink>
      <w:r>
        <w:rPr>
          <w:rFonts w:ascii="Arial" w:cs="Arial" w:eastAsia="Arial" w:hAnsi="Arial"/>
          <w:sz w:val="18"/>
          <w:szCs w:val="18"/>
          <w:u w:val="single" w:color="auto"/>
          <w:color w:val="0000EE"/>
        </w:rPr>
        <w:t xml:space="preserve"> </w:t>
      </w:r>
      <w:hyperlink w:anchor="page236">
        <w:r>
          <w:rPr>
            <w:rFonts w:ascii="Arial" w:cs="Arial" w:eastAsia="Arial" w:hAnsi="Arial"/>
            <w:sz w:val="18"/>
            <w:szCs w:val="18"/>
            <w:u w:val="single" w:color="auto"/>
            <w:color w:val="0000EE"/>
          </w:rPr>
          <w:t>PERIODS ENDED SEPTEMBER 30, 2013 AND 2014</w:t>
        </w:r>
      </w:hyperlink>
    </w:p>
    <w:p>
      <w:pPr>
        <w:spacing w:after="0" w:line="1" w:lineRule="exact"/>
        <w:rPr>
          <w:sz w:val="20"/>
          <w:szCs w:val="20"/>
          <w:color w:val="auto"/>
        </w:rPr>
      </w:pPr>
    </w:p>
    <w:p>
      <w:pPr>
        <w:ind w:left="180" w:right="220" w:hanging="179"/>
        <w:spacing w:after="0" w:line="250" w:lineRule="auto"/>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UNAUDITED CONDENSED CONSOLIDATED STATEMENTS OF CASH FLOWS FOR THE NINE-MONTH PERIODS ENDED</w:t>
        </w:r>
      </w:hyperlink>
      <w:r>
        <w:rPr>
          <w:rFonts w:ascii="Arial" w:cs="Arial" w:eastAsia="Arial" w:hAnsi="Arial"/>
          <w:sz w:val="18"/>
          <w:szCs w:val="18"/>
          <w:u w:val="single" w:color="auto"/>
          <w:color w:val="0000EE"/>
        </w:rPr>
        <w:t xml:space="preserve"> </w:t>
      </w:r>
      <w:hyperlink w:anchor="page237">
        <w:r>
          <w:rPr>
            <w:rFonts w:ascii="Arial" w:cs="Arial" w:eastAsia="Arial" w:hAnsi="Arial"/>
            <w:sz w:val="18"/>
            <w:szCs w:val="18"/>
            <w:u w:val="single" w:color="auto"/>
            <w:color w:val="0000EE"/>
          </w:rPr>
          <w:t>SEPTEMBER 30, 2013 AND 2014</w:t>
        </w:r>
      </w:hyperlink>
    </w:p>
    <w:p>
      <w:pPr>
        <w:spacing w:after="0" w:line="1" w:lineRule="exact"/>
        <w:rPr>
          <w:sz w:val="20"/>
          <w:szCs w:val="20"/>
          <w:color w:val="auto"/>
        </w:rPr>
      </w:pPr>
    </w:p>
    <w:p>
      <w:pPr>
        <w:ind w:left="180" w:right="400" w:hanging="179"/>
        <w:spacing w:after="0" w:line="261" w:lineRule="auto"/>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NOTES TO UNAUDITED CONDENSED CONSOLIDATED FINANCIAL STATEMENTS FOR THE NINE-MONTH PERIODS</w:t>
        </w:r>
      </w:hyperlink>
      <w:r>
        <w:rPr>
          <w:rFonts w:ascii="Arial" w:cs="Arial" w:eastAsia="Arial" w:hAnsi="Arial"/>
          <w:sz w:val="18"/>
          <w:szCs w:val="18"/>
          <w:u w:val="single" w:color="auto"/>
          <w:color w:val="0000EE"/>
        </w:rPr>
        <w:t xml:space="preserve"> </w:t>
      </w:r>
      <w:hyperlink w:anchor="page238">
        <w:r>
          <w:rPr>
            <w:rFonts w:ascii="Arial" w:cs="Arial" w:eastAsia="Arial" w:hAnsi="Arial"/>
            <w:sz w:val="18"/>
            <w:szCs w:val="18"/>
            <w:u w:val="single" w:color="auto"/>
            <w:color w:val="0000EE"/>
          </w:rPr>
          <w:t>ENDED SEPTEMBER 30, 2013 AND 2014</w:t>
        </w:r>
      </w:hyperlink>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3810</wp:posOffset>
            </wp:positionV>
            <wp:extent cx="7372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F-3 - F-4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F-9 - F-41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F-42 - F-47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F-48 - F-49</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F-50</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F-51</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F-54 - F-77</w:t>
      </w:r>
    </w:p>
    <w:p>
      <w:pPr>
        <w:sectPr>
          <w:pgSz w:w="11900" w:h="16838" w:orient="portrait"/>
          <w:cols w:equalWidth="0" w:num="2">
            <w:col w:w="9900" w:space="520"/>
            <w:col w:w="840"/>
          </w:cols>
          <w:pgMar w:left="240" w:top="460" w:right="3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 OF MOMO TECHNOLOGY COMPANY LIMITED</w:t>
      </w:r>
    </w:p>
    <w:p>
      <w:pPr>
        <w:spacing w:after="0" w:line="10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Momo Technology Company Limited (the “Company”), its subsidiaries, its variable interest entity (“VIE”), and its VIE’s subsidiary (collectively, the “Group”) as of December 31, 2012 and 2013 and the related consolidated statements of operations, comprehensive loss, changes in equity (deficit) and cash flows for the two years in the period ended December 31, 2013, and the related financial statement schedule included in Schedule I. These financial statements and financial statement schedule are the responsibility of the Group’s management. Our responsibility is to express an opinion on these consolidated financial statements and financial statement schedule based on our audits.</w:t>
      </w:r>
    </w:p>
    <w:p>
      <w:pPr>
        <w:spacing w:after="0" w:line="15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Group is not required to have, nor were we engaged to perform, an audit of its internal control over financial reporting. Our audits include consideration of internal control over financial reporting as a basis for designing audit procedures that are appropriate in the circumstances, but not for the purpose of expressing an opinion on the effectiveness of the Group’s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1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Group as of December 31, 2012 and 2013, and the results of its operations and its cash flows for each of the two years in the period ended December 31, 2013, in conformity with accounting principles generally accepted in the United States of America. Also, in our opinion, the related financial statement schedule, when considered in relation to the consolidated financial statements taken as a whole, presents fairly in all material respects, the information set forth therein.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As disclosed in Note 13, the basic and diluted net loss per share attributable to ordinary shareholders has been restated for all periods presented.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13, 2014 (December 8, 2014 as to the subsequent events described in Note 19 and the effects of the restatement discussed in Note 13)</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820" w:type="dxa"/>
            <w:vAlign w:val="bottom"/>
            <w:gridSpan w:val="4"/>
          </w:tcPr>
          <w:p>
            <w:pPr>
              <w:ind w:left="2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2012</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$18,539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$55,374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accounts of $nil and $nil as of December 31, 2012 and 2013,</w:t>
            </w: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 due from a related party</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951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6"/>
              </w:rPr>
              <w:t>335</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19,825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959</w:t>
            </w:r>
          </w:p>
        </w:tc>
        <w:tc>
          <w:tcPr>
            <w:tcW w:w="580" w:type="dxa"/>
            <w:vAlign w:val="bottom"/>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Cost-method investment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3"/>
        </w:trPr>
        <w:tc>
          <w:tcPr>
            <w:tcW w:w="9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20,784</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equity</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Accounts payable (including accounts payable of the consolidated VIE without recourse to the Company of $nil and $125</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of December 31, 2012 and 2013, respectively)</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tcPr>
          <w:p>
            <w:pPr>
              <w:ind w:left="340"/>
              <w:spacing w:after="0" w:line="201" w:lineRule="exact"/>
              <w:rPr>
                <w:sz w:val="20"/>
                <w:szCs w:val="20"/>
                <w:color w:val="auto"/>
              </w:rPr>
            </w:pPr>
            <w:r>
              <w:rPr>
                <w:rFonts w:ascii="Arial" w:cs="Arial" w:eastAsia="Arial" w:hAnsi="Arial"/>
                <w:sz w:val="18"/>
                <w:szCs w:val="18"/>
                <w:color w:val="auto"/>
              </w:rPr>
              <w:t>Deferred revenue (including deferred revenue of the consolidated VIE without recourse to the Company of $nil and</w:t>
            </w: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ind w:left="520"/>
              <w:spacing w:after="0"/>
              <w:rPr>
                <w:sz w:val="20"/>
                <w:szCs w:val="20"/>
                <w:color w:val="auto"/>
              </w:rPr>
            </w:pPr>
            <w:r>
              <w:rPr>
                <w:rFonts w:ascii="Arial" w:cs="Arial" w:eastAsia="Arial" w:hAnsi="Arial"/>
                <w:sz w:val="18"/>
                <w:szCs w:val="18"/>
                <w:color w:val="auto"/>
              </w:rPr>
              <w:t>$3,714 as of December 31, 2012 and 2013, respectively)</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Accrued expenses and other current liabilities (including accrued expenses and other current liabilities of the consolidated</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VIE without recourse to the Company of $73 and $684 as of December 31, 2012 and 2013, respectively)</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143</w:t>
            </w:r>
          </w:p>
        </w:tc>
        <w:tc>
          <w:tcPr>
            <w:tcW w:w="5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580" w:type="dxa"/>
            <w:vAlign w:val="bottom"/>
          </w:tcPr>
          <w:p>
            <w:pPr>
              <w:ind w:left="5560"/>
              <w:spacing w:after="0"/>
              <w:rPr>
                <w:sz w:val="20"/>
                <w:szCs w:val="20"/>
                <w:color w:val="auto"/>
              </w:rPr>
            </w:pPr>
            <w:r>
              <w:rPr>
                <w:rFonts w:ascii="Arial" w:cs="Arial" w:eastAsia="Arial" w:hAnsi="Arial"/>
                <w:sz w:val="18"/>
                <w:szCs w:val="18"/>
                <w:color w:val="auto"/>
              </w:rPr>
              <w:t>F-3</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5"/>
          </w:tcPr>
          <w:p>
            <w:pPr>
              <w:jc w:val="right"/>
              <w:ind w:right="4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2012</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(Note14)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Mezzanine equity</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Series A-1 and Series A-2 convertible redeemable participating preferred shares ($0.0001 par value; 48,560,050 and</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38,480,677 shares authorized as of December 31, 2012 and 2013, respectively, 48,560,050 and 38,480,677 shares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5"/>
              </w:rPr>
              <w:t>issued and outstanding as of December 31, 2012 and 2013, respectively, liquidation value of $4,781 and $4,260 as of</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2012 and 2013, respectively)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5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w w:val="94"/>
              </w:rPr>
              <w:t>Series A-3 convertible redeemable participating preferred shares ($0.0001 par value; 19,797,980 shares authorized as of</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520"/>
              <w:spacing w:after="0"/>
              <w:rPr>
                <w:sz w:val="20"/>
                <w:szCs w:val="20"/>
                <w:color w:val="auto"/>
              </w:rPr>
            </w:pPr>
            <w:r>
              <w:rPr>
                <w:rFonts w:ascii="Arial" w:cs="Arial" w:eastAsia="Arial" w:hAnsi="Arial"/>
                <w:sz w:val="18"/>
                <w:szCs w:val="18"/>
                <w:color w:val="auto"/>
                <w:w w:val="93"/>
              </w:rPr>
              <w:t>December 31, 2012 and 2013, 19,797,980 and 19,797,980 shares issued and outstanding as of December 31, 2012 and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Arial" w:cs="Arial" w:eastAsia="Arial" w:hAnsi="Arial"/>
                <w:sz w:val="18"/>
                <w:szCs w:val="18"/>
                <w:color w:val="auto"/>
              </w:rPr>
              <w:t>2013, respectively, liquidation value of $4,231 and $4,512 as of December 31, 2012 and 2013, respectively)</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4,265</w:t>
            </w:r>
          </w:p>
        </w:tc>
        <w:tc>
          <w:tcPr>
            <w:tcW w:w="5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Series B convertible redeemable participating preferred shares ($0.0001 par value; 59,957,640 and 70,037,013 shares</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authorized as of December 31, 2012 and 2013, respectively; 59,957,640 and 70,037,013 shares issued and</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as of December 31, 2012 and 2013, respectively, liquidation value of $20,341 and $25,661 as of</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2012 and 2013, respectively)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20,710</w:t>
            </w:r>
          </w:p>
        </w:tc>
        <w:tc>
          <w:tcPr>
            <w:tcW w:w="5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w w:val="95"/>
              </w:rPr>
              <w:t>Series C convertible redeemable participating preferred shares ($0.0001 par value; nil and 36,008,642 shares authorized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520"/>
              <w:spacing w:after="0"/>
              <w:rPr>
                <w:sz w:val="20"/>
                <w:szCs w:val="20"/>
                <w:color w:val="auto"/>
              </w:rPr>
            </w:pPr>
            <w:r>
              <w:rPr>
                <w:rFonts w:ascii="Arial" w:cs="Arial" w:eastAsia="Arial" w:hAnsi="Arial"/>
                <w:sz w:val="18"/>
                <w:szCs w:val="18"/>
                <w:color w:val="auto"/>
                <w:w w:val="96"/>
              </w:rPr>
              <w:t>as of December 31, 2012 and 2013, nil and 36,008,642 shares issued and outstanding as of December 31, 2012 and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Arial" w:cs="Arial" w:eastAsia="Arial" w:hAnsi="Arial"/>
                <w:sz w:val="18"/>
                <w:szCs w:val="18"/>
                <w:color w:val="auto"/>
              </w:rPr>
              <w:t>2013, respectively, liquidation value of $nil and $59,240 as of December 31, 2012 and 2013, respectively)</w:t>
            </w: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46,435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00" w:type="dxa"/>
            <w:vAlign w:val="bottom"/>
          </w:tcPr>
          <w:p>
            <w:pPr>
              <w:ind w:left="340"/>
              <w:spacing w:after="0" w:line="201" w:lineRule="exact"/>
              <w:rPr>
                <w:sz w:val="20"/>
                <w:szCs w:val="20"/>
                <w:color w:val="auto"/>
              </w:rPr>
            </w:pPr>
            <w:r>
              <w:rPr>
                <w:rFonts w:ascii="Arial" w:cs="Arial" w:eastAsia="Arial" w:hAnsi="Arial"/>
                <w:sz w:val="18"/>
                <w:szCs w:val="18"/>
                <w:color w:val="auto"/>
                <w:w w:val="93"/>
              </w:rPr>
              <w:t>Ordinary shares ($0.0001 par value; 371,684,330 and 835,675,688 shares authorized as of December 31, 2012 and 2013,</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520"/>
              <w:spacing w:after="0"/>
              <w:rPr>
                <w:sz w:val="20"/>
                <w:szCs w:val="20"/>
                <w:color w:val="auto"/>
              </w:rPr>
            </w:pPr>
            <w:r>
              <w:rPr>
                <w:rFonts w:ascii="Arial" w:cs="Arial" w:eastAsia="Arial" w:hAnsi="Arial"/>
                <w:sz w:val="18"/>
                <w:szCs w:val="18"/>
                <w:color w:val="auto"/>
              </w:rPr>
              <w:t>respectively, 147,000,000 and 147,000,000 shares issued and outstanding as of December 31, 2012 and 2013,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Subscription receivable</w:t>
            </w: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(6,558)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(22,860)</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color w:val="auto"/>
              </w:rPr>
              <w:t>Total liabilities, mezzanine equity and equity</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20,784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$ 63,025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6"/>
          </w:tcPr>
          <w:p>
            <w:pPr>
              <w:jc w:val="right"/>
              <w:ind w:right="58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2012</w:t>
            </w:r>
          </w:p>
        </w:tc>
        <w:tc>
          <w:tcPr>
            <w:tcW w:w="6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Cost and expenses: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Cost of revenues (including share-based compensation of $nil and $34 in 2012 and 2013,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tcPr>
          <w:p>
            <w:pPr>
              <w:ind w:left="340"/>
              <w:spacing w:after="0" w:line="201" w:lineRule="exact"/>
              <w:rPr>
                <w:sz w:val="20"/>
                <w:szCs w:val="20"/>
                <w:color w:val="auto"/>
              </w:rPr>
            </w:pPr>
            <w:r>
              <w:rPr>
                <w:rFonts w:ascii="Arial" w:cs="Arial" w:eastAsia="Arial" w:hAnsi="Arial"/>
                <w:sz w:val="18"/>
                <w:szCs w:val="18"/>
                <w:color w:val="auto"/>
                <w:w w:val="99"/>
              </w:rPr>
              <w:t>Research and development (including share-based compensation of $39 and $269 in 2012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520"/>
              <w:spacing w:after="0"/>
              <w:rPr>
                <w:sz w:val="20"/>
                <w:szCs w:val="20"/>
                <w:color w:val="auto"/>
              </w:rPr>
            </w:pPr>
            <w:r>
              <w:rPr>
                <w:rFonts w:ascii="Arial" w:cs="Arial" w:eastAsia="Arial" w:hAnsi="Arial"/>
                <w:sz w:val="18"/>
                <w:szCs w:val="18"/>
                <w:color w:val="auto"/>
              </w:rPr>
              <w:t>and 2013, respectively)</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(1,454)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Sales and marketing (including share-based compensation of $11 and $128 in 2012 and</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2013, respectively)</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(419)</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tcPr>
          <w:p>
            <w:pPr>
              <w:ind w:left="340"/>
              <w:spacing w:after="0" w:line="201" w:lineRule="exact"/>
              <w:rPr>
                <w:sz w:val="20"/>
                <w:szCs w:val="20"/>
                <w:color w:val="auto"/>
              </w:rPr>
            </w:pPr>
            <w:r>
              <w:rPr>
                <w:rFonts w:ascii="Arial" w:cs="Arial" w:eastAsia="Arial" w:hAnsi="Arial"/>
                <w:sz w:val="18"/>
                <w:szCs w:val="18"/>
                <w:color w:val="auto"/>
                <w:w w:val="99"/>
              </w:rPr>
              <w:t>General and administrative (including share-based compensation of $542 and $532 in 2012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520"/>
              <w:spacing w:after="0"/>
              <w:rPr>
                <w:sz w:val="20"/>
                <w:szCs w:val="20"/>
                <w:color w:val="auto"/>
              </w:rPr>
            </w:pPr>
            <w:r>
              <w:rPr>
                <w:rFonts w:ascii="Arial" w:cs="Arial" w:eastAsia="Arial" w:hAnsi="Arial"/>
                <w:sz w:val="18"/>
                <w:szCs w:val="18"/>
                <w:color w:val="auto"/>
              </w:rPr>
              <w:t>and 2013, respectively)</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(1,969)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cost and expenses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(3,842)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Loss before income tax provision</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Net loss attributable to Momo Technology Company Limited</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preferred shareholders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Net loss attributable to ordinary shareholders</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ordinary shareholders, as restated (see Note 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(0.12)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Weighted average shares used in calculating net loss per ordinary share (see Note 13)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60,103,654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67,190,411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60,103,654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67,190,411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 thousands of U.S. dollars, except share and share related data)</w:t>
      </w:r>
    </w:p>
    <w:p>
      <w:pPr>
        <w:spacing w:after="0" w:line="233" w:lineRule="exact"/>
        <w:rPr>
          <w:sz w:val="20"/>
          <w:szCs w:val="20"/>
          <w:color w:val="auto"/>
        </w:rPr>
      </w:pPr>
    </w:p>
    <w:p>
      <w:pPr>
        <w:jc w:val="center"/>
        <w:ind w:left="9520"/>
        <w:spacing w:after="0"/>
        <w:rPr>
          <w:sz w:val="20"/>
          <w:szCs w:val="20"/>
          <w:color w:val="auto"/>
        </w:rPr>
      </w:pPr>
      <w:r>
        <w:rPr>
          <w:rFonts w:ascii="Arial" w:cs="Arial" w:eastAsia="Arial" w:hAnsi="Arial"/>
          <w:sz w:val="14"/>
          <w:szCs w:val="14"/>
          <w:color w:val="auto"/>
        </w:rPr>
        <w:t>For the years ended</w:t>
      </w:r>
    </w:p>
    <w:p>
      <w:pPr>
        <w:jc w:val="center"/>
        <w:ind w:left="9520"/>
        <w:spacing w:after="0" w:line="231" w:lineRule="auto"/>
        <w:rPr>
          <w:sz w:val="20"/>
          <w:szCs w:val="20"/>
          <w:color w:val="auto"/>
        </w:rPr>
      </w:pPr>
      <w:r>
        <w:rPr>
          <w:rFonts w:ascii="Arial" w:cs="Arial" w:eastAsia="Arial" w:hAnsi="Arial"/>
          <w:sz w:val="14"/>
          <w:szCs w:val="14"/>
          <w:color w:val="auto"/>
        </w:rPr>
        <w:t>December 31,</w:t>
      </w:r>
    </w:p>
    <w:tbl>
      <w:tblPr>
        <w:tblLayout w:type="fixed"/>
        <w:tblInd w:w="0" w:type="dxa"/>
        <w:tblCellMar>
          <w:top w:w="0" w:type="dxa"/>
          <w:left w:w="0" w:type="dxa"/>
          <w:bottom w:w="0" w:type="dxa"/>
          <w:right w:w="0" w:type="dxa"/>
        </w:tblCellMar>
      </w:tblPr>
      <w:tr>
        <w:trPr>
          <w:trHeight w:val="142"/>
        </w:trPr>
        <w:tc>
          <w:tcPr>
            <w:tcW w:w="9620" w:type="dxa"/>
            <w:vAlign w:val="bottom"/>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2012</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r>
      <w:tr>
        <w:trPr>
          <w:trHeight w:val="210"/>
        </w:trPr>
        <w:tc>
          <w:tcPr>
            <w:tcW w:w="9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$(3,839)</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$(9,326)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Comprehensive loss attributable to Momo Technology Company Limited shareholders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(3,857</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(9,145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60" w:type="dxa"/>
            <w:vAlign w:val="bottom"/>
            <w:gridSpan w:val="3"/>
            <w:vMerge w:val="restart"/>
          </w:tcPr>
          <w:p>
            <w:pPr>
              <w:ind w:left="440"/>
              <w:spacing w:after="0"/>
              <w:rPr>
                <w:sz w:val="20"/>
                <w:szCs w:val="20"/>
                <w:color w:val="auto"/>
              </w:rPr>
            </w:pPr>
            <w:r>
              <w:rPr>
                <w:rFonts w:ascii="Arial" w:cs="Arial" w:eastAsia="Arial" w:hAnsi="Arial"/>
                <w:sz w:val="14"/>
                <w:szCs w:val="14"/>
                <w:color w:val="auto"/>
              </w:rPr>
              <w:t>Ordinary shares</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Additional</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Accumulated other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paid-in</w:t>
            </w:r>
          </w:p>
        </w:tc>
        <w:tc>
          <w:tcPr>
            <w:tcW w:w="110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Subscription</w:t>
            </w:r>
          </w:p>
        </w:tc>
        <w:tc>
          <w:tcPr>
            <w:tcW w:w="114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6"/>
                <w:szCs w:val="6"/>
                <w:color w:val="auto"/>
              </w:rPr>
            </w:pPr>
          </w:p>
        </w:tc>
        <w:tc>
          <w:tcPr>
            <w:tcW w:w="122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6"/>
                <w:szCs w:val="6"/>
                <w:color w:val="auto"/>
              </w:rPr>
            </w:pPr>
          </w:p>
        </w:tc>
        <w:tc>
          <w:tcPr>
            <w:tcW w:w="900" w:type="dxa"/>
            <w:vAlign w:val="bottom"/>
            <w:gridSpan w:val="3"/>
            <w:vMerge w:val="restart"/>
          </w:tcPr>
          <w:p>
            <w:pPr>
              <w:ind w:left="20"/>
              <w:spacing w:after="0" w:line="149"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Shares</w:t>
            </w: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1"/>
              </w:rPr>
              <w:t>Amount</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receivable</w:t>
            </w: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deficit</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income (loss)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deficit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2012</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147,000,000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72"/>
              </w:rPr>
              <w:t>(15)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592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Deemed dividend to preferred shareholders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Balance as of December 31, 2012</w:t>
            </w:r>
          </w:p>
        </w:tc>
        <w:tc>
          <w:tcPr>
            <w:tcW w:w="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147,000,000</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6"/>
              </w:rPr>
              <w:t>747</w:t>
            </w: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20"/>
              <w:spacing w:after="0"/>
              <w:rPr>
                <w:sz w:val="20"/>
                <w:szCs w:val="20"/>
                <w:color w:val="auto"/>
              </w:rPr>
            </w:pPr>
            <w:r>
              <w:rPr>
                <w:rFonts w:ascii="Arial" w:cs="Arial" w:eastAsia="Arial" w:hAnsi="Arial"/>
                <w:sz w:val="17"/>
                <w:szCs w:val="17"/>
                <w:color w:val="auto"/>
                <w:w w:val="72"/>
              </w:rPr>
              <w:t>(15)</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963</w:t>
            </w:r>
          </w:p>
        </w:tc>
        <w:tc>
          <w:tcPr>
            <w:tcW w:w="28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preferred shareholders</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147,000,000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1,710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158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w:t>
      </w:r>
    </w:p>
    <w:p>
      <w:pPr>
        <w:spacing w:after="0" w:line="233" w:lineRule="exact"/>
        <w:rPr>
          <w:sz w:val="20"/>
          <w:szCs w:val="20"/>
          <w:color w:val="auto"/>
        </w:rPr>
      </w:pPr>
    </w:p>
    <w:p>
      <w:pPr>
        <w:jc w:val="center"/>
        <w:ind w:left="9560"/>
        <w:spacing w:after="0"/>
        <w:rPr>
          <w:sz w:val="20"/>
          <w:szCs w:val="20"/>
          <w:color w:val="auto"/>
        </w:rPr>
      </w:pPr>
      <w:r>
        <w:rPr>
          <w:rFonts w:ascii="Arial" w:cs="Arial" w:eastAsia="Arial" w:hAnsi="Arial"/>
          <w:sz w:val="14"/>
          <w:szCs w:val="14"/>
          <w:color w:val="auto"/>
        </w:rPr>
        <w:t>For the years ended</w:t>
      </w:r>
    </w:p>
    <w:p>
      <w:pPr>
        <w:jc w:val="center"/>
        <w:ind w:left="9580"/>
        <w:spacing w:after="0" w:line="231" w:lineRule="auto"/>
        <w:rPr>
          <w:sz w:val="20"/>
          <w:szCs w:val="20"/>
          <w:color w:val="auto"/>
        </w:rPr>
      </w:pPr>
      <w:r>
        <w:rPr>
          <w:rFonts w:ascii="Arial" w:cs="Arial" w:eastAsia="Arial" w:hAnsi="Arial"/>
          <w:sz w:val="14"/>
          <w:szCs w:val="14"/>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6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2012</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 (3,839)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 (9,326)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592</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Amount due from a related party</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23"/>
        </w:trPr>
        <w:tc>
          <w:tcPr>
            <w:tcW w:w="96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(1,041)</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Advance to a related party for a cost-method investment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(951)</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3"/>
        </w:trPr>
        <w:tc>
          <w:tcPr>
            <w:tcW w:w="9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redeemable participating preferred shares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23,551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17,421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year</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18,539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23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2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Momo Technology Company Limited (the “Company”) is the holding company for a group of companies, which is incorporated in the British Virgin Islands on November 23, 2011. The Company, its subsidiaries, its consolidated variable interest entity (“VIE”) and VIE’s subsidiary (collectively the “Group”) are principally engaged in providing mobile-based social networking services. The Group started its operation in July 2011. The Group started its monetization by introducing fee based membership subscription services and emoticons in the third quarter of 2013 as well as by offering the platform for mobile games in the fourth quarter of 2013.</w:t>
      </w:r>
    </w:p>
    <w:p>
      <w:pPr>
        <w:spacing w:after="0" w:line="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2013, details of the Company’s subsidiaries, VIE and VIE’s subsidiary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2"/>
              </w:rPr>
              <w:t>Date of</w:t>
            </w:r>
          </w:p>
        </w:tc>
        <w:tc>
          <w:tcPr>
            <w:tcW w:w="16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3"/>
              </w:rPr>
              <w:t>Place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economic</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0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Incorporation</w:t>
            </w: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Incorporation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Subsidiaries</w:t>
            </w:r>
          </w:p>
        </w:tc>
        <w:tc>
          <w:tcPr>
            <w:tcW w:w="1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Momo Technology HK Company Limited (“Momo HK”)</w:t>
            </w:r>
          </w:p>
        </w:tc>
        <w:tc>
          <w:tcPr>
            <w:tcW w:w="208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December 5, 2011</w:t>
            </w:r>
          </w:p>
        </w:tc>
        <w:tc>
          <w:tcPr>
            <w:tcW w:w="1600" w:type="dxa"/>
            <w:vAlign w:val="bottom"/>
            <w:gridSpan w:val="2"/>
          </w:tcPr>
          <w:p>
            <w:pPr>
              <w:jc w:val="center"/>
              <w:ind w:right="660"/>
              <w:spacing w:after="0"/>
              <w:rPr>
                <w:sz w:val="20"/>
                <w:szCs w:val="20"/>
                <w:color w:val="auto"/>
              </w:rPr>
            </w:pPr>
            <w:r>
              <w:rPr>
                <w:rFonts w:ascii="Arial" w:cs="Arial" w:eastAsia="Arial" w:hAnsi="Arial"/>
                <w:sz w:val="18"/>
                <w:szCs w:val="18"/>
                <w:color w:val="auto"/>
                <w:w w:val="95"/>
              </w:rPr>
              <w:t>Hong Kong</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Beijing Momo Information Technology Company Limited</w:t>
            </w:r>
          </w:p>
        </w:tc>
        <w:tc>
          <w:tcPr>
            <w:tcW w:w="1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(“Beijing Momo IT”)</w:t>
            </w:r>
          </w:p>
        </w:tc>
        <w:tc>
          <w:tcPr>
            <w:tcW w:w="20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March 9, 2012</w:t>
            </w:r>
          </w:p>
        </w:tc>
        <w:tc>
          <w:tcPr>
            <w:tcW w:w="160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9"/>
              </w:rPr>
              <w:t>PRC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VIE</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Beijing Momo Technology Co., Ltd. (“Beijing Momo”)</w:t>
            </w:r>
          </w:p>
        </w:tc>
        <w:tc>
          <w:tcPr>
            <w:tcW w:w="208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0"/>
              </w:rPr>
              <w:t>July 7, 2011</w:t>
            </w:r>
          </w:p>
        </w:tc>
        <w:tc>
          <w:tcPr>
            <w:tcW w:w="160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9"/>
              </w:rPr>
              <w:t>PRC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VIE’s subsidiary</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Chengdu Momo Technology Co., Ltd. (“Chengdu Momo”)</w:t>
            </w:r>
          </w:p>
        </w:tc>
        <w:tc>
          <w:tcPr>
            <w:tcW w:w="208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2"/>
              </w:rPr>
              <w:t>May 9, 2013</w:t>
            </w:r>
          </w:p>
        </w:tc>
        <w:tc>
          <w:tcPr>
            <w:tcW w:w="160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9"/>
              </w:rPr>
              <w:t>PRC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color w:val="auto"/>
        </w:rPr>
        <w:t>These entities are controlled by the Company pursuant to the contractual arrangements disclosed below.</w:t>
      </w:r>
    </w:p>
    <w:p>
      <w:pPr>
        <w:spacing w:after="0" w:line="117"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The Company was established on November 23, 2011 with share capital of $15, which is 65% owned by Mr. Yan Tang, 20% owned by Mr. Yong Li, 8% owned by Mr. Xiaoliang Lei, and 7% owned by Mr. Zhiwei Li, (Yan Tang, Yong Li, Xiaoliang Lei and Zhiwei Li are collectively referred to “Founders”) as a vehicle for the group reorganization.</w:t>
      </w:r>
    </w:p>
    <w:p>
      <w:pPr>
        <w:spacing w:after="0" w:line="73"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color w:val="auto"/>
        </w:rPr>
        <w:t>The Group commenced its business in China in July 2011 through Beijing Momo which has subsequently become the Group’s VIE through the contractual arrangements described below in “the VIE arrangements”.</w:t>
      </w:r>
    </w:p>
    <w:p>
      <w:pPr>
        <w:spacing w:after="0" w:line="62"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Beijing Momo was established by Founders in Beijing, the People’s Republic of China (“PRC”), as a limited liability company on July 7, 2011, which is 65% owned by Mr. Yan Tang, 20% owned by Mr. Yong Li, 8% owned by Mr. Xiaoliang Lei, and 7% owned by Mr. Zhiwei Li. Beijing Momo and its subsidiary principally engaged in the provision of substantially all of the Group’s services in the PRC.</w:t>
      </w:r>
    </w:p>
    <w:p>
      <w:pPr>
        <w:spacing w:after="0" w:line="73"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The Company owns 100% of the equity interests in Momo HK, an intermediate holding company incorporated in Hong Kong on December 5, 2011, which owns 100% of the equity interests in Beijing Momo IT, a wholly foreign-owned enterprise (“WFOE”), incorporated in the PRC by the Company on March 9, 2012.</w:t>
      </w:r>
    </w:p>
    <w:p>
      <w:pPr>
        <w:spacing w:after="0" w:line="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entered into group reorganization by way of entering into a series of contractual arrangements between its WFOE, VIE and the Company on April 18, 2012. Immediately after the reorganization,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 continued</w:t>
      </w:r>
    </w:p>
    <w:p>
      <w:pPr>
        <w:spacing w:after="0" w:line="337" w:lineRule="exact"/>
        <w:rPr>
          <w:sz w:val="20"/>
          <w:szCs w:val="20"/>
          <w:color w:val="auto"/>
        </w:rPr>
      </w:pPr>
    </w:p>
    <w:p>
      <w:pPr>
        <w:ind w:left="620" w:right="20"/>
        <w:spacing w:after="0" w:line="312" w:lineRule="auto"/>
        <w:rPr>
          <w:sz w:val="20"/>
          <w:szCs w:val="20"/>
          <w:color w:val="auto"/>
        </w:rPr>
      </w:pPr>
      <w:r>
        <w:rPr>
          <w:rFonts w:ascii="Arial" w:cs="Arial" w:eastAsia="Arial" w:hAnsi="Arial"/>
          <w:sz w:val="16"/>
          <w:szCs w:val="16"/>
          <w:color w:val="auto"/>
        </w:rPr>
        <w:t>Founders controlled the Company, WFOE and Beijing Momo; therefore, the reorganization was accounted for as a transaction among entities under common control. Accordingly, the accompanying audited consolidated financial statements have been prepared by using historical cost basis and include the assets, liabilities, revenue, expenses and cash flows that were directly attributable to Beijing Momo for all periods presented.</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The VIE arrangements</w:t>
      </w:r>
    </w:p>
    <w:p>
      <w:pPr>
        <w:spacing w:after="0" w:line="121" w:lineRule="exact"/>
        <w:rPr>
          <w:sz w:val="20"/>
          <w:szCs w:val="20"/>
          <w:color w:val="auto"/>
        </w:rPr>
      </w:pPr>
    </w:p>
    <w:p>
      <w:pPr>
        <w:ind w:left="620" w:right="80"/>
        <w:spacing w:after="0" w:line="279" w:lineRule="auto"/>
        <w:rPr>
          <w:sz w:val="20"/>
          <w:szCs w:val="20"/>
          <w:color w:val="auto"/>
        </w:rPr>
      </w:pPr>
      <w:r>
        <w:rPr>
          <w:rFonts w:ascii="Arial" w:cs="Arial" w:eastAsia="Arial" w:hAnsi="Arial"/>
          <w:sz w:val="17"/>
          <w:szCs w:val="17"/>
          <w:color w:val="auto"/>
        </w:rPr>
        <w:t>PRC regulations currently limit direct foreign ownership of business entities providing value-added telecommunications services, advertising services and internet services in the PRC where certain licenses are required for the provision of such services. To comply with these PRC regulations, Beijing Momo IT and Beijing Momo’s shareholders entered into various contractual arrangements whereby the shareholders’ claim to the economic benefits of Beijing Momo and their ability to control the activities of Beijing Momo were transferred to Beijing Momo IT.</w:t>
      </w:r>
    </w:p>
    <w:p>
      <w:pPr>
        <w:spacing w:after="0" w:line="63" w:lineRule="exact"/>
        <w:rPr>
          <w:sz w:val="20"/>
          <w:szCs w:val="20"/>
          <w:color w:val="auto"/>
        </w:rPr>
      </w:pPr>
    </w:p>
    <w:p>
      <w:pPr>
        <w:ind w:left="620" w:right="160"/>
        <w:spacing w:after="0" w:line="264" w:lineRule="auto"/>
        <w:rPr>
          <w:sz w:val="20"/>
          <w:szCs w:val="20"/>
          <w:color w:val="auto"/>
        </w:rPr>
      </w:pPr>
      <w:r>
        <w:rPr>
          <w:rFonts w:ascii="Arial" w:cs="Arial" w:eastAsia="Arial" w:hAnsi="Arial"/>
          <w:sz w:val="18"/>
          <w:szCs w:val="18"/>
          <w:color w:val="auto"/>
        </w:rPr>
        <w:t>The Group provides substantially all of its services in China through Beijing Momo and its subsidiary, which hold the operating licenses and approvals to enable the Group to provide such mobile internet content services in the PRC. The equity interests of Beijing Momo are legally held by certain employees and shareholders of the Company (“Nominee Shareholders”).</w:t>
      </w:r>
    </w:p>
    <w:p>
      <w:pPr>
        <w:spacing w:after="0" w:line="73" w:lineRule="exact"/>
        <w:rPr>
          <w:sz w:val="20"/>
          <w:szCs w:val="20"/>
          <w:color w:val="auto"/>
        </w:rPr>
      </w:pPr>
    </w:p>
    <w:p>
      <w:pPr>
        <w:ind w:left="620"/>
        <w:spacing w:after="0" w:line="253" w:lineRule="auto"/>
        <w:rPr>
          <w:sz w:val="20"/>
          <w:szCs w:val="20"/>
          <w:color w:val="auto"/>
        </w:rPr>
      </w:pPr>
      <w:r>
        <w:rPr>
          <w:rFonts w:ascii="Arial" w:cs="Arial" w:eastAsia="Arial" w:hAnsi="Arial"/>
          <w:sz w:val="18"/>
          <w:szCs w:val="18"/>
          <w:color w:val="auto"/>
        </w:rPr>
        <w:t>The Company obtained control over Beijing Momo through Beijing Momo IT on April 18, 2012 by entering into a series of contractual arrangements between Beijing Momo IT, Beijing Momo and its Nominee Shareholders that enable the Company to (1) have power to direct the activities that most significantly affects the economic performance of the VIE, and (2) receive the economic benefits of the VIE that could be significant to the VIE. Accordingly, the Company is considered the primary beneficiary of the VIE and has consolidated the VIE’s financial results of operations, assets and liabilities in the Company’s consolidated financial statements. In making the conclusion that the Company is the primary beneficiary of the VIE, the Company’s rights under the Power of Attorney also provide the Company’s abilities to direct the activities that most significantly impact the VIE’s economic performance. The Company also believes that this ability to exercise control ensures that the VIE will continue to execute and renew the Exclusive Technology Consulting and Management Services Agreement and pay service fees to the Company. By charging service fees in whatever amounts the Company deems fit, and by ensuring that the Exclusive Technology Consulting and Management Services Agreement is executed and renewed indefinitely, the Company has the rights to receive substantially all of the economic benefits from the VIE.</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is a summary of the contractual agreements that the Company, through Beijing Momo IT, entered into with Beijing Momo and its</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Nominee Shareholders:</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Agreements that provide the Company effective control over the VIE:</w:t>
      </w:r>
    </w:p>
    <w:p>
      <w:pPr>
        <w:spacing w:after="0" w:line="374" w:lineRule="exact"/>
        <w:rPr>
          <w:sz w:val="20"/>
          <w:szCs w:val="20"/>
          <w:color w:val="auto"/>
        </w:rPr>
      </w:pPr>
    </w:p>
    <w:p>
      <w:pPr>
        <w:ind w:left="1040" w:hanging="429"/>
        <w:spacing w:after="0"/>
        <w:tabs>
          <w:tab w:leader="none" w:pos="104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Power of Attorney</w:t>
      </w:r>
    </w:p>
    <w:p>
      <w:pPr>
        <w:spacing w:after="0" w:line="117" w:lineRule="exact"/>
        <w:rPr>
          <w:sz w:val="20"/>
          <w:szCs w:val="20"/>
          <w:color w:val="auto"/>
        </w:rPr>
      </w:pPr>
    </w:p>
    <w:p>
      <w:pPr>
        <w:ind w:left="1060" w:right="80"/>
        <w:spacing w:after="0" w:line="257" w:lineRule="auto"/>
        <w:rPr>
          <w:sz w:val="20"/>
          <w:szCs w:val="20"/>
          <w:color w:val="auto"/>
        </w:rPr>
      </w:pPr>
      <w:r>
        <w:rPr>
          <w:rFonts w:ascii="Arial" w:cs="Arial" w:eastAsia="Arial" w:hAnsi="Arial"/>
          <w:sz w:val="18"/>
          <w:szCs w:val="18"/>
          <w:color w:val="auto"/>
        </w:rPr>
        <w:t>Pursuant to the Power of Attorney, the Nominee Shareholders of Beijing Momo each irrevocably appointed Beijing Momo IT as the attorney-in-fact to act on their behalf on all matters pertaining to Beijing Momo and to exercise all of their rights as a shareholder of Beijing Momo, including but not limited to convene, attend and vote on their behalf at shareholders’ meetings, designate and appoint directors and senior management members. Beijing Momo IT may authorize or assign its rights under this appointment to a person as approved by its board of directors at its sole discretion. Each power of</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5860" w:hanging="452"/>
        <w:spacing w:after="0" w:line="425" w:lineRule="auto"/>
        <w:tabs>
          <w:tab w:leader="none" w:pos="449"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PRINCIPAL ACTIVITIES - continued The VIE arrangements - </w:t>
      </w:r>
      <w:r>
        <w:rPr>
          <w:rFonts w:ascii="Arial" w:cs="Arial" w:eastAsia="Arial" w:hAnsi="Arial"/>
          <w:sz w:val="18"/>
          <w:szCs w:val="18"/>
          <w:color w:val="auto"/>
        </w:rPr>
        <w:t>continued</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Agreements that provide the Company effective control over the VIE -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Power of Attorney </w:t>
      </w:r>
      <w:r>
        <w:rPr>
          <w:rFonts w:ascii="Arial" w:cs="Arial" w:eastAsia="Arial" w:hAnsi="Arial"/>
          <w:sz w:val="18"/>
          <w:szCs w:val="18"/>
          <w:color w:val="auto"/>
        </w:rPr>
        <w:t>- continued</w:t>
      </w:r>
    </w:p>
    <w:p>
      <w:pPr>
        <w:spacing w:after="0" w:line="333" w:lineRule="exact"/>
        <w:rPr>
          <w:sz w:val="20"/>
          <w:szCs w:val="20"/>
          <w:color w:val="auto"/>
        </w:rPr>
      </w:pPr>
    </w:p>
    <w:p>
      <w:pPr>
        <w:jc w:val="both"/>
        <w:ind w:left="1060" w:right="200"/>
        <w:spacing w:after="0" w:line="264" w:lineRule="auto"/>
        <w:rPr>
          <w:sz w:val="20"/>
          <w:szCs w:val="20"/>
          <w:color w:val="auto"/>
        </w:rPr>
      </w:pPr>
      <w:r>
        <w:rPr>
          <w:rFonts w:ascii="Arial" w:cs="Arial" w:eastAsia="Arial" w:hAnsi="Arial"/>
          <w:sz w:val="18"/>
          <w:szCs w:val="18"/>
          <w:color w:val="auto"/>
        </w:rPr>
        <w:t>attorney will remain in force until the dissolution of Beijing Momo unless there is an early termination of Business Operation Agreement. The Company believes the Powers of Attorney can demonstrate the power of its PRC subsidiary (Beijing Momo IT) to direct how the VIE should conduct its daily operations.</w:t>
      </w:r>
    </w:p>
    <w:p>
      <w:pPr>
        <w:spacing w:after="0" w:line="330" w:lineRule="exact"/>
        <w:rPr>
          <w:sz w:val="20"/>
          <w:szCs w:val="20"/>
          <w:color w:val="auto"/>
        </w:rPr>
      </w:pPr>
    </w:p>
    <w:p>
      <w:pPr>
        <w:ind w:left="1040" w:hanging="429"/>
        <w:spacing w:after="0"/>
        <w:tabs>
          <w:tab w:leader="none" w:pos="104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Call Option Agreement</w:t>
      </w:r>
    </w:p>
    <w:p>
      <w:pPr>
        <w:spacing w:after="0" w:line="117" w:lineRule="exact"/>
        <w:rPr>
          <w:sz w:val="20"/>
          <w:szCs w:val="20"/>
          <w:color w:val="auto"/>
        </w:rPr>
      </w:pPr>
    </w:p>
    <w:p>
      <w:pPr>
        <w:ind w:left="1060" w:right="20"/>
        <w:spacing w:after="0" w:line="259" w:lineRule="auto"/>
        <w:rPr>
          <w:sz w:val="20"/>
          <w:szCs w:val="20"/>
          <w:color w:val="auto"/>
        </w:rPr>
      </w:pPr>
      <w:r>
        <w:rPr>
          <w:rFonts w:ascii="Arial" w:cs="Arial" w:eastAsia="Arial" w:hAnsi="Arial"/>
          <w:sz w:val="18"/>
          <w:szCs w:val="18"/>
          <w:color w:val="auto"/>
        </w:rPr>
        <w:t>Under the Exclusive Call Option Agreement among Beijing Momo IT, Beijing Momo and Nominee Shareholders of Beijing Momo, each of the Nominee Shareholders irrevocably granted Beijing Momo IT or its designated representative(s) an exclusive option to purchase, to the extent permitted under PRC law, all or part of his, her or its equity interests in Beijing Momo at the consideration equal to the lowest price as permitted by PRC laws.</w:t>
      </w:r>
    </w:p>
    <w:p>
      <w:pPr>
        <w:spacing w:after="0" w:line="79" w:lineRule="exact"/>
        <w:rPr>
          <w:sz w:val="20"/>
          <w:szCs w:val="20"/>
          <w:color w:val="auto"/>
        </w:rPr>
      </w:pPr>
    </w:p>
    <w:p>
      <w:pPr>
        <w:ind w:left="1060" w:right="20"/>
        <w:spacing w:after="0" w:line="255" w:lineRule="auto"/>
        <w:rPr>
          <w:sz w:val="20"/>
          <w:szCs w:val="20"/>
          <w:color w:val="auto"/>
        </w:rPr>
      </w:pPr>
      <w:r>
        <w:rPr>
          <w:rFonts w:ascii="Arial" w:cs="Arial" w:eastAsia="Arial" w:hAnsi="Arial"/>
          <w:sz w:val="18"/>
          <w:szCs w:val="18"/>
          <w:color w:val="auto"/>
        </w:rPr>
        <w:t>Beijing Momo IT or its designated representative(s) have sole discretion as to when to exercise such options, either in part or in full. Without Beijing Momo IT’s written consent, the Nominee Shareholders of Beijing Momo shall not transfer, donate, pledge, or otherwise dispose any equity interests of Beijing Momo in any way. In addition, any consideration paid by Beijing Momo IT to the Nominee Shareholders of Beijing Momo in exercising the option shall be transferred back to Beijing Momo IT or its designated representative(s). This agreement could be terminated when all the shareholders’ equity were acquired by WFOE or its designated representative(s) subject to the law of People’s Republic of China.</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Agreements that transfer economic benefits to the Company:</w:t>
      </w:r>
    </w:p>
    <w:p>
      <w:pPr>
        <w:spacing w:after="0" w:line="374" w:lineRule="exact"/>
        <w:rPr>
          <w:sz w:val="20"/>
          <w:szCs w:val="20"/>
          <w:color w:val="auto"/>
        </w:rPr>
      </w:pPr>
    </w:p>
    <w:p>
      <w:pPr>
        <w:ind w:left="1040" w:hanging="429"/>
        <w:spacing w:after="0"/>
        <w:tabs>
          <w:tab w:leader="none" w:pos="1040"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Technology Consulting and Management Services Agreement</w:t>
      </w:r>
    </w:p>
    <w:p>
      <w:pPr>
        <w:spacing w:after="0" w:line="117" w:lineRule="exact"/>
        <w:rPr>
          <w:sz w:val="20"/>
          <w:szCs w:val="20"/>
          <w:color w:val="auto"/>
        </w:rPr>
      </w:pPr>
    </w:p>
    <w:p>
      <w:pPr>
        <w:ind w:left="1060"/>
        <w:spacing w:after="0" w:line="293" w:lineRule="auto"/>
        <w:rPr>
          <w:sz w:val="20"/>
          <w:szCs w:val="20"/>
          <w:color w:val="auto"/>
        </w:rPr>
      </w:pPr>
      <w:r>
        <w:rPr>
          <w:rFonts w:ascii="Arial" w:cs="Arial" w:eastAsia="Arial" w:hAnsi="Arial"/>
          <w:sz w:val="16"/>
          <w:szCs w:val="16"/>
          <w:color w:val="auto"/>
        </w:rPr>
        <w:t>Under the Exclusive Technology Consulting and Management Services Agreement between Beijing Momo IT and Beijing Momo , Beijing Momo IT has the exclusive right to provide, among other things, software development and maintenance services, internet technology support services, database security services and other technology consulting services to Beijing Momo and Beijing Momo agrees to accept all the technology consultation and management services provided by Beijing Momo IT. Without Beijing Momo IT’s prior written consent, Beijing Momo is prohibited from engaging any third party to provide any of the services under this agreement. In addition, Beijing Momo IT shall be entitled to any and all the intellectual property rights arising out of or created in connection with the performance of this agreement.</w:t>
      </w:r>
    </w:p>
    <w:p>
      <w:pPr>
        <w:spacing w:after="0" w:line="57" w:lineRule="exact"/>
        <w:rPr>
          <w:sz w:val="20"/>
          <w:szCs w:val="20"/>
          <w:color w:val="auto"/>
        </w:rPr>
      </w:pPr>
    </w:p>
    <w:p>
      <w:pPr>
        <w:ind w:left="1060" w:right="100"/>
        <w:spacing w:after="0" w:line="257" w:lineRule="auto"/>
        <w:rPr>
          <w:sz w:val="20"/>
          <w:szCs w:val="20"/>
          <w:color w:val="auto"/>
        </w:rPr>
      </w:pPr>
      <w:r>
        <w:rPr>
          <w:rFonts w:ascii="Arial" w:cs="Arial" w:eastAsia="Arial" w:hAnsi="Arial"/>
          <w:sz w:val="18"/>
          <w:szCs w:val="18"/>
          <w:color w:val="auto"/>
        </w:rPr>
        <w:t>Pursuant to the agreement, the consideration of the services provided by Beijing Momo IT to Beijing Momo shall be 90% of VIE’s after tax profit and is payable on a quarterly basis by considering, among other things, the complexity, time spent, cost, contents and value of the services provided by Beijing Momo IT as well as the market price of similar service. For the years ended December 31, 2012 and 2013, Beijing Momo did not generate net income. Hence, Beijing Momo IT charged Beijing Momo a service fee of $nil and $3,356 at WFOE’s discretion, respectively.</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5860" w:hanging="452"/>
        <w:spacing w:after="0" w:line="425" w:lineRule="auto"/>
        <w:tabs>
          <w:tab w:leader="none" w:pos="449"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PRINCIPAL ACTIVITIES - continued The VIE arrangements - </w:t>
      </w:r>
      <w:r>
        <w:rPr>
          <w:rFonts w:ascii="Arial" w:cs="Arial" w:eastAsia="Arial" w:hAnsi="Arial"/>
          <w:sz w:val="18"/>
          <w:szCs w:val="18"/>
          <w:color w:val="auto"/>
        </w:rPr>
        <w:t>continued</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Agreements that transfer economic benefits to the Company -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Exclusive Technology Consulting and Management Services Agreement </w:t>
      </w:r>
      <w:r>
        <w:rPr>
          <w:rFonts w:ascii="Arial" w:cs="Arial" w:eastAsia="Arial" w:hAnsi="Arial"/>
          <w:sz w:val="18"/>
          <w:szCs w:val="18"/>
          <w:color w:val="auto"/>
        </w:rPr>
        <w:t>- continued</w:t>
      </w:r>
    </w:p>
    <w:p>
      <w:pPr>
        <w:spacing w:after="0" w:line="333" w:lineRule="exact"/>
        <w:rPr>
          <w:sz w:val="20"/>
          <w:szCs w:val="20"/>
          <w:color w:val="auto"/>
        </w:rPr>
      </w:pPr>
    </w:p>
    <w:p>
      <w:pPr>
        <w:ind w:left="1060" w:right="40"/>
        <w:spacing w:after="0" w:line="259" w:lineRule="auto"/>
        <w:rPr>
          <w:sz w:val="20"/>
          <w:szCs w:val="20"/>
          <w:color w:val="auto"/>
        </w:rPr>
      </w:pPr>
      <w:r>
        <w:rPr>
          <w:rFonts w:ascii="Arial" w:cs="Arial" w:eastAsia="Arial" w:hAnsi="Arial"/>
          <w:sz w:val="18"/>
          <w:szCs w:val="18"/>
          <w:color w:val="auto"/>
        </w:rPr>
        <w:t>Since Beijing Momo IT has effectively controlled Beijing Momo through Power of Attorney, Equity Interest Pledge Agreement and Exclusive Call Option Agreement, Beijing Momo IT has the right to adjust the service fees at its sole discretion. The agreement shall remain effective in ten years. At the discretion of Beijing Momo IT, this agreement could be renewed on applicable expiration dates, or Beijing Momo IT and Beijing Momo could enter into another exclusive agreement.</w:t>
      </w:r>
    </w:p>
    <w:p>
      <w:pPr>
        <w:spacing w:after="0" w:line="335" w:lineRule="exact"/>
        <w:rPr>
          <w:sz w:val="20"/>
          <w:szCs w:val="20"/>
          <w:color w:val="auto"/>
        </w:rPr>
      </w:pPr>
    </w:p>
    <w:p>
      <w:pPr>
        <w:ind w:left="1040" w:hanging="429"/>
        <w:spacing w:after="0"/>
        <w:tabs>
          <w:tab w:leader="none" w:pos="104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Equity Interest Pledge Agreement</w:t>
      </w:r>
    </w:p>
    <w:p>
      <w:pPr>
        <w:spacing w:after="0" w:line="117" w:lineRule="exact"/>
        <w:rPr>
          <w:sz w:val="20"/>
          <w:szCs w:val="20"/>
          <w:color w:val="auto"/>
        </w:rPr>
      </w:pPr>
    </w:p>
    <w:p>
      <w:pPr>
        <w:ind w:left="1060" w:right="60"/>
        <w:spacing w:after="0" w:line="302" w:lineRule="auto"/>
        <w:rPr>
          <w:sz w:val="20"/>
          <w:szCs w:val="20"/>
          <w:color w:val="auto"/>
        </w:rPr>
      </w:pPr>
      <w:r>
        <w:rPr>
          <w:rFonts w:ascii="Arial" w:cs="Arial" w:eastAsia="Arial" w:hAnsi="Arial"/>
          <w:sz w:val="16"/>
          <w:szCs w:val="16"/>
          <w:color w:val="auto"/>
        </w:rPr>
        <w:t>Under the equity interest pledge agreement among Beijing Momo IT and each of the Nominee Shareholders of Beijing Momo, the Nominee Shareholders pledged all of their equity interests in Beijing Momo to Beijing Momo IT to guarantee Beijing Momo’s and its shareholders’ payment obligations arising from the Exclusive Technology Consulting and Management Service Agreement, Business Operation Agreement and Exclusive Call Option Agreement, including but not limited to, the payments due to Beijing Momo IT for services provided.</w:t>
      </w:r>
    </w:p>
    <w:p>
      <w:pPr>
        <w:spacing w:after="0" w:line="46" w:lineRule="exact"/>
        <w:rPr>
          <w:sz w:val="20"/>
          <w:szCs w:val="20"/>
          <w:color w:val="auto"/>
        </w:rPr>
      </w:pPr>
    </w:p>
    <w:p>
      <w:pPr>
        <w:ind w:left="1060"/>
        <w:spacing w:after="0" w:line="255" w:lineRule="auto"/>
        <w:rPr>
          <w:sz w:val="20"/>
          <w:szCs w:val="20"/>
          <w:color w:val="auto"/>
        </w:rPr>
      </w:pPr>
      <w:r>
        <w:rPr>
          <w:rFonts w:ascii="Arial" w:cs="Arial" w:eastAsia="Arial" w:hAnsi="Arial"/>
          <w:sz w:val="18"/>
          <w:szCs w:val="18"/>
          <w:color w:val="auto"/>
        </w:rPr>
        <w:t>If Beijing Momo or any of its Nominee Shareholders breaches its contractual obligations under the above agreements, Beijing Momo IT, as the pledgee, will be entitled to certain rights and entitlements, including receiving priority proceeds from the auction or sale of whole or part of the pledged equity interests of Beijing Momo in accordance with PRC legal procedures. During the term of the pledge, the shareholders of Beijing Momo shall cause Beijing Momo not to distribute any dividends and if they receive any dividends generated by the pledged equity interests, they shall transfer such received amounts to an account designated by Beijing Momo IT according to the instruction of Beijing Momo IT.</w:t>
      </w:r>
    </w:p>
    <w:p>
      <w:pPr>
        <w:spacing w:after="0" w:line="85" w:lineRule="exact"/>
        <w:rPr>
          <w:sz w:val="20"/>
          <w:szCs w:val="20"/>
          <w:color w:val="auto"/>
        </w:rPr>
      </w:pPr>
    </w:p>
    <w:p>
      <w:pPr>
        <w:jc w:val="both"/>
        <w:ind w:left="1060" w:right="600"/>
        <w:spacing w:after="0" w:line="264" w:lineRule="auto"/>
        <w:rPr>
          <w:sz w:val="20"/>
          <w:szCs w:val="20"/>
          <w:color w:val="auto"/>
        </w:rPr>
      </w:pPr>
      <w:r>
        <w:rPr>
          <w:rFonts w:ascii="Arial" w:cs="Arial" w:eastAsia="Arial" w:hAnsi="Arial"/>
          <w:sz w:val="18"/>
          <w:szCs w:val="18"/>
          <w:color w:val="auto"/>
        </w:rPr>
        <w:t>The pledge will remain binding until Beijing Momo and its Nominee Shareholders has fully performed all their obligations under the Exclusive Technology Consulting and Management Services Agreement, Business Operations Agreement and Exclusive Call Option Agreement.</w:t>
      </w:r>
    </w:p>
    <w:p>
      <w:pPr>
        <w:spacing w:after="0" w:line="330" w:lineRule="exact"/>
        <w:rPr>
          <w:sz w:val="20"/>
          <w:szCs w:val="20"/>
          <w:color w:val="auto"/>
        </w:rPr>
      </w:pPr>
    </w:p>
    <w:p>
      <w:pPr>
        <w:ind w:left="1040" w:hanging="429"/>
        <w:spacing w:after="0"/>
        <w:tabs>
          <w:tab w:leader="none" w:pos="104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Business Operations Agreement</w:t>
      </w:r>
    </w:p>
    <w:p>
      <w:pPr>
        <w:spacing w:after="0" w:line="117" w:lineRule="exact"/>
        <w:rPr>
          <w:sz w:val="20"/>
          <w:szCs w:val="20"/>
          <w:color w:val="auto"/>
        </w:rPr>
      </w:pPr>
    </w:p>
    <w:p>
      <w:pPr>
        <w:ind w:left="1060" w:right="80"/>
        <w:spacing w:after="0" w:line="288" w:lineRule="auto"/>
        <w:rPr>
          <w:sz w:val="20"/>
          <w:szCs w:val="20"/>
          <w:color w:val="auto"/>
        </w:rPr>
      </w:pPr>
      <w:r>
        <w:rPr>
          <w:rFonts w:ascii="Arial" w:cs="Arial" w:eastAsia="Arial" w:hAnsi="Arial"/>
          <w:sz w:val="16"/>
          <w:szCs w:val="16"/>
          <w:color w:val="auto"/>
        </w:rPr>
        <w:t>Under the Business Operations Agreement among Beijing Momo IT, Beijing Momo and the Nominee Shareholders of Beijing Momo, without the prior written consent of Beijing Momo IT or its designated representative(s), Beijing Momo shall not conduct any transaction that may substantially affect the assets, business, operation or interest of Beijing Momo IT. Beijing Momo and Nominee Shareholders shall also follow Beijing Momo IT’s instructions on management of Beijing Momo’s daily operation, finance and employee matters and appoint the nominee(s) designated by Beijing Momo IT as the director(s) and senior management members of Beijing Momo. In the event that any agreements between Beijing Momo IT and Beijing Momo terminates, Beijing Momo IT has the sole discretion to determine whether to continue any other agreements with Beijing Momo. Beijing Momo IT is entitled to any dividends or other interests declared by Beijing Momo and the shareholders of Beijing Momo have agreed to promptly transfer such dividends or other interests to Beijing Momo IT. The agreement shall remain effective in 10 years. At the discretion of Beijing Momo IT, this agreement will be renewed on applicable expiration dates, or Beijing Momo IT and Beijing Momo will enter into another exclusive agreement.</w:t>
      </w: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5840" w:hanging="452"/>
        <w:spacing w:after="0" w:line="425" w:lineRule="auto"/>
        <w:tabs>
          <w:tab w:leader="none" w:pos="449"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PRINCIPAL ACTIVITIES - continued The VIE arrangements - </w:t>
      </w:r>
      <w:r>
        <w:rPr>
          <w:rFonts w:ascii="Arial" w:cs="Arial" w:eastAsia="Arial" w:hAnsi="Arial"/>
          <w:sz w:val="18"/>
          <w:szCs w:val="18"/>
          <w:color w:val="auto"/>
        </w:rPr>
        <w:t>continued</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Agreements that transfer economic benefits to the Company -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Operations Agreement </w:t>
      </w:r>
      <w:r>
        <w:rPr>
          <w:rFonts w:ascii="Arial" w:cs="Arial" w:eastAsia="Arial" w:hAnsi="Arial"/>
          <w:sz w:val="18"/>
          <w:szCs w:val="18"/>
          <w:color w:val="auto"/>
        </w:rPr>
        <w:t>- continued</w:t>
      </w:r>
    </w:p>
    <w:p>
      <w:pPr>
        <w:spacing w:after="0" w:line="333" w:lineRule="exact"/>
        <w:rPr>
          <w:sz w:val="20"/>
          <w:szCs w:val="20"/>
          <w:color w:val="auto"/>
        </w:rPr>
      </w:pPr>
    </w:p>
    <w:p>
      <w:pPr>
        <w:ind w:left="1060" w:right="60"/>
        <w:spacing w:after="0" w:line="277" w:lineRule="auto"/>
        <w:rPr>
          <w:sz w:val="20"/>
          <w:szCs w:val="20"/>
          <w:color w:val="auto"/>
        </w:rPr>
      </w:pPr>
      <w:r>
        <w:rPr>
          <w:rFonts w:ascii="Arial" w:cs="Arial" w:eastAsia="Arial" w:hAnsi="Arial"/>
          <w:sz w:val="18"/>
          <w:szCs w:val="18"/>
          <w:color w:val="auto"/>
        </w:rPr>
        <w:t>Through these contractual agreements, the Company has the ability to effectively control the VIE and is also able to receive substantially all the economic benefits of the VIE.</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Risk in relation to the VIE structure</w:t>
      </w:r>
    </w:p>
    <w:p>
      <w:pPr>
        <w:spacing w:after="0" w:line="117" w:lineRule="exact"/>
        <w:rPr>
          <w:sz w:val="20"/>
          <w:szCs w:val="20"/>
          <w:color w:val="auto"/>
        </w:rPr>
      </w:pPr>
    </w:p>
    <w:p>
      <w:pPr>
        <w:ind w:left="620"/>
        <w:spacing w:after="0" w:line="255" w:lineRule="auto"/>
        <w:rPr>
          <w:sz w:val="20"/>
          <w:szCs w:val="20"/>
          <w:color w:val="auto"/>
        </w:rPr>
      </w:pPr>
      <w:r>
        <w:rPr>
          <w:rFonts w:ascii="Arial" w:cs="Arial" w:eastAsia="Arial" w:hAnsi="Arial"/>
          <w:sz w:val="18"/>
          <w:szCs w:val="18"/>
          <w:color w:val="auto"/>
        </w:rPr>
        <w:t>The Company believes that Beijing Momo IT and Beijing Momo’s contractual arrangements with the VIE are in compliance with PRC law and are legally enforceable. Certain shareholders of Beijing Momo are also shareholders of the Company and therefore have no current interest in seeking to act contrary to the contractual arrangements. However, uncertainties in the PRC legal system could limit the Company’s ability to enforce these contractual arrangements and if the shareholders of the VIE were to reduce their interest in the Company, their interests may diverge from that of the Company and that may potentially increase the risk that they would seek to act contrary to the contractual terms, for example by influencing the VIE not to pay the service fees when required to do so.</w:t>
      </w:r>
    </w:p>
    <w:p>
      <w:pPr>
        <w:spacing w:after="0" w:line="85" w:lineRule="exact"/>
        <w:rPr>
          <w:sz w:val="20"/>
          <w:szCs w:val="20"/>
          <w:color w:val="auto"/>
        </w:rPr>
      </w:pPr>
    </w:p>
    <w:p>
      <w:pPr>
        <w:ind w:left="620" w:right="40"/>
        <w:spacing w:after="0" w:line="270" w:lineRule="auto"/>
        <w:rPr>
          <w:sz w:val="20"/>
          <w:szCs w:val="20"/>
          <w:color w:val="auto"/>
        </w:rPr>
      </w:pPr>
      <w:r>
        <w:rPr>
          <w:rFonts w:ascii="Arial" w:cs="Arial" w:eastAsia="Arial" w:hAnsi="Arial"/>
          <w:sz w:val="17"/>
          <w:szCs w:val="17"/>
          <w:color w:val="auto"/>
        </w:rPr>
        <w:t>However, the Company cannot assure that when conflicts of interest arise, the shareholders will act in the best interests of the Company or that conflicts of interests will be resolved in the Company’s favor. Currently, the Company does not have existing arrangements to address potential conflicts of interest the shareholders of the VIE may encounter in their capacity as the beneficial owners and director of the VIE on the one hand, and as beneficial owners and directors or officer of the Company, on the other hand. The Company believes the shareholders of the VIE will not act contrary to any of the contractual arrangements and the Exclusive Call Option Agreement provides the Company with a mechanism to remove the shareholders as the beneficial shareholders of the VIE should they act to the detriment of the Company. The Company relies on the VIE’s shareholders, as directors and officer of the Company, to fulfill their fiduciary duties and abide by laws of the PRC and the BVI and act in the best interest of the Company. If the Company cannot resolve any conflicts of interest or disputes between the Company and the VIE’s shareholders, the Company would have to rely on legal proceedings, which could result in disruption of its business, and there is substantial uncertainty as to the outcome of any such legal proceedings.</w:t>
      </w:r>
    </w:p>
    <w:p>
      <w:pPr>
        <w:spacing w:after="0" w:line="70" w:lineRule="exact"/>
        <w:rPr>
          <w:sz w:val="20"/>
          <w:szCs w:val="20"/>
          <w:color w:val="auto"/>
        </w:rPr>
      </w:pPr>
    </w:p>
    <w:p>
      <w:pPr>
        <w:ind w:left="620" w:right="60"/>
        <w:spacing w:after="0" w:line="264" w:lineRule="auto"/>
        <w:rPr>
          <w:sz w:val="20"/>
          <w:szCs w:val="20"/>
          <w:color w:val="auto"/>
        </w:rPr>
      </w:pPr>
      <w:r>
        <w:rPr>
          <w:rFonts w:ascii="Arial" w:cs="Arial" w:eastAsia="Arial" w:hAnsi="Arial"/>
          <w:sz w:val="18"/>
          <w:szCs w:val="18"/>
          <w:color w:val="auto"/>
        </w:rPr>
        <w:t>The Company’s ability to control the VIE also depends on the Power of Attorney. Beijing Momo IT and Beijing Momo have to vote on all matters requiring shareholder approval in the VIE. As noted above, the Company believes this power of attorney is legally enforceable but may not be as effective as direct equity ownership.</w:t>
      </w:r>
    </w:p>
    <w:p>
      <w:pPr>
        <w:spacing w:after="0" w:line="73" w:lineRule="exact"/>
        <w:rPr>
          <w:sz w:val="20"/>
          <w:szCs w:val="20"/>
          <w:color w:val="auto"/>
        </w:rPr>
      </w:pPr>
    </w:p>
    <w:p>
      <w:pPr>
        <w:ind w:left="620" w:right="260"/>
        <w:spacing w:after="0" w:line="277" w:lineRule="auto"/>
        <w:rPr>
          <w:sz w:val="20"/>
          <w:szCs w:val="20"/>
          <w:color w:val="auto"/>
        </w:rPr>
      </w:pPr>
      <w:r>
        <w:rPr>
          <w:rFonts w:ascii="Arial" w:cs="Arial" w:eastAsia="Arial" w:hAnsi="Arial"/>
          <w:sz w:val="18"/>
          <w:szCs w:val="18"/>
          <w:color w:val="auto"/>
        </w:rPr>
        <w:t>In addition, if the legal structure and contractual arrangements were found to be in violation of any existing PRC laws and regulations, the PRC government could:</w:t>
      </w:r>
    </w:p>
    <w:p>
      <w:pPr>
        <w:spacing w:after="0" w:line="76" w:lineRule="exact"/>
        <w:rPr>
          <w:sz w:val="20"/>
          <w:szCs w:val="20"/>
          <w:color w:val="auto"/>
        </w:rPr>
      </w:pPr>
    </w:p>
    <w:p>
      <w:pPr>
        <w:ind w:left="1040" w:hanging="321"/>
        <w:spacing w:after="0"/>
        <w:tabs>
          <w:tab w:leader="none" w:pos="10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revoke the Group’s business and operating licenses;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require the Group to discontinue or restrict operations;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restrict the Group’s right to collect revenues;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block the Group’s websites;</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5860" w:hanging="452"/>
        <w:spacing w:after="0" w:line="454" w:lineRule="auto"/>
        <w:tabs>
          <w:tab w:leader="none" w:pos="449"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PRINCIPAL ACTIVITIES - continued </w:t>
      </w:r>
      <w:r>
        <w:rPr>
          <w:rFonts w:ascii="Arial" w:cs="Arial" w:eastAsia="Arial" w:hAnsi="Arial"/>
          <w:sz w:val="18"/>
          <w:szCs w:val="18"/>
          <w:b w:val="1"/>
          <w:bCs w:val="1"/>
          <w:i w:val="1"/>
          <w:iCs w:val="1"/>
          <w:color w:val="auto"/>
        </w:rPr>
        <w:t xml:space="preserve">Risk in relation to the VIE structure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w:t>
      </w:r>
    </w:p>
    <w:p>
      <w:pPr>
        <w:spacing w:after="0" w:line="125" w:lineRule="exact"/>
        <w:rPr>
          <w:rFonts w:ascii="Arial" w:cs="Arial" w:eastAsia="Arial" w:hAnsi="Arial"/>
          <w:sz w:val="18"/>
          <w:szCs w:val="18"/>
          <w:b w:val="1"/>
          <w:bCs w:val="1"/>
          <w:color w:val="auto"/>
        </w:rPr>
      </w:pPr>
    </w:p>
    <w:p>
      <w:pPr>
        <w:ind w:left="1040" w:right="60" w:hanging="321"/>
        <w:spacing w:after="0" w:line="277" w:lineRule="auto"/>
        <w:tabs>
          <w:tab w:leader="none" w:pos="10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require the Group to restructure the operations in such a way as to compel the Group to establish a new enterprise, re-apply for the necessary licenses or relocate our businesses, staff and assets;</w:t>
      </w:r>
    </w:p>
    <w:p>
      <w:pPr>
        <w:spacing w:after="0" w:line="75" w:lineRule="exact"/>
        <w:rPr>
          <w:rFonts w:ascii="Arial" w:cs="Arial" w:eastAsia="Arial" w:hAnsi="Arial"/>
          <w:sz w:val="18"/>
          <w:szCs w:val="18"/>
          <w:color w:val="auto"/>
        </w:rPr>
      </w:pPr>
    </w:p>
    <w:p>
      <w:pPr>
        <w:ind w:left="1040" w:hanging="321"/>
        <w:spacing w:after="0"/>
        <w:tabs>
          <w:tab w:leader="none" w:pos="10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impose additional conditions or requirements with which the Group may not be able to comply; or</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take other regulatory or enforcement actions against the Group that could be harmful to the Group’s business.</w:t>
      </w:r>
    </w:p>
    <w:p>
      <w:pPr>
        <w:spacing w:after="0" w:line="117" w:lineRule="exact"/>
        <w:rPr>
          <w:sz w:val="20"/>
          <w:szCs w:val="20"/>
          <w:color w:val="auto"/>
        </w:rPr>
      </w:pPr>
    </w:p>
    <w:p>
      <w:pPr>
        <w:ind w:left="620" w:right="60"/>
        <w:spacing w:after="0" w:line="279" w:lineRule="auto"/>
        <w:rPr>
          <w:sz w:val="20"/>
          <w:szCs w:val="20"/>
          <w:color w:val="auto"/>
        </w:rPr>
      </w:pPr>
      <w:r>
        <w:rPr>
          <w:rFonts w:ascii="Arial" w:cs="Arial" w:eastAsia="Arial" w:hAnsi="Arial"/>
          <w:sz w:val="17"/>
          <w:szCs w:val="17"/>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 or the right to receive their economic benefits, the Group would no longer be able to consolidate the VIE. The Group does not believe that any penalties imposed or actions taken by the PRC government would result in the liquidation of the Company, Beijing Momo IT, or the VIE.</w:t>
      </w:r>
    </w:p>
    <w:p>
      <w:pPr>
        <w:spacing w:after="0" w:line="63"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following financial statements amounts and balances of the VIE were included in the accompanying consolidated financial statements after the elimination of intercompany balances and transactions as of and for the years ended December 31:</w:t>
      </w:r>
    </w:p>
    <w:p>
      <w:pPr>
        <w:spacing w:after="0" w:line="177"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22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80" w:type="dxa"/>
            <w:vAlign w:val="bottom"/>
          </w:tcPr>
          <w:p>
            <w:pPr>
              <w:ind w:left="20"/>
              <w:spacing w:after="0" w:line="201" w:lineRule="exact"/>
              <w:rPr>
                <w:sz w:val="20"/>
                <w:szCs w:val="20"/>
                <w:color w:val="auto"/>
              </w:rPr>
            </w:pPr>
            <w:r>
              <w:rPr>
                <w:rFonts w:ascii="Arial" w:cs="Arial" w:eastAsia="Arial" w:hAnsi="Arial"/>
                <w:sz w:val="18"/>
                <w:szCs w:val="18"/>
                <w:color w:val="auto"/>
              </w:rPr>
              <w:t>Accounts receivable, net of allowance for</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doubtful accounts of $nil and $nil as of</w:t>
            </w: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0"/>
              <w:spacing w:after="0"/>
              <w:rPr>
                <w:sz w:val="20"/>
                <w:szCs w:val="20"/>
                <w:color w:val="auto"/>
              </w:rPr>
            </w:pPr>
            <w:r>
              <w:rPr>
                <w:rFonts w:ascii="Arial" w:cs="Arial" w:eastAsia="Arial" w:hAnsi="Arial"/>
                <w:sz w:val="18"/>
                <w:szCs w:val="18"/>
                <w:color w:val="auto"/>
              </w:rPr>
              <w:t>December 31, 2012 and 2013, respectively</w:t>
            </w:r>
          </w:p>
        </w:tc>
        <w:tc>
          <w:tcPr>
            <w:tcW w:w="1060" w:type="dxa"/>
            <w:vAlign w:val="bottom"/>
          </w:tcPr>
          <w:p>
            <w:pPr>
              <w:spacing w:after="0"/>
              <w:rPr>
                <w:sz w:val="20"/>
                <w:szCs w:val="20"/>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06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06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Years ended</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right w:val="single" w:sz="8" w:color="CCEEFF"/>
            </w:tcBorders>
            <w:shd w:val="clear" w:color="auto" w:fill="CCEEFF"/>
          </w:tcPr>
          <w:p>
            <w:pPr>
              <w:jc w:val="center"/>
              <w:ind w:left="41"/>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$ 3,129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(2,292)</w:t>
            </w:r>
          </w:p>
        </w:tc>
        <w:tc>
          <w:tcPr>
            <w:tcW w:w="1000" w:type="dxa"/>
            <w:vAlign w:val="bottom"/>
            <w:gridSpan w:val="3"/>
          </w:tcPr>
          <w:p>
            <w:pPr>
              <w:ind w:left="3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(2,179)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900" w:type="dxa"/>
            <w:vAlign w:val="bottom"/>
            <w:gridSpan w:val="3"/>
            <w:vMerge w:val="restart"/>
          </w:tcPr>
          <w:p>
            <w:pPr>
              <w:jc w:val="right"/>
              <w:ind w:right="2200"/>
              <w:spacing w:after="0"/>
              <w:rPr>
                <w:sz w:val="20"/>
                <w:szCs w:val="20"/>
                <w:color w:val="auto"/>
              </w:rPr>
            </w:pPr>
            <w:r>
              <w:rPr>
                <w:rFonts w:ascii="Arial" w:cs="Arial" w:eastAsia="Arial" w:hAnsi="Arial"/>
                <w:sz w:val="18"/>
                <w:szCs w:val="18"/>
                <w:color w:val="auto"/>
              </w:rPr>
              <w:t>F-14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29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5840" w:hanging="452"/>
        <w:spacing w:after="0" w:line="454" w:lineRule="auto"/>
        <w:tabs>
          <w:tab w:leader="none" w:pos="44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PRINCIPAL ACTIVITIES - continued </w:t>
      </w:r>
      <w:r>
        <w:rPr>
          <w:rFonts w:ascii="Arial" w:cs="Arial" w:eastAsia="Arial" w:hAnsi="Arial"/>
          <w:sz w:val="18"/>
          <w:szCs w:val="18"/>
          <w:b w:val="1"/>
          <w:bCs w:val="1"/>
          <w:i w:val="1"/>
          <w:iCs w:val="1"/>
          <w:color w:val="auto"/>
        </w:rPr>
        <w:t xml:space="preserve">Risk in relation to the VIE structure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w:t>
      </w:r>
    </w:p>
    <w:p>
      <w:pPr>
        <w:spacing w:after="0" w:line="117"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Years ended</w:t>
      </w:r>
    </w:p>
    <w:p>
      <w:pPr>
        <w:ind w:left="8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77"/>
              </w:rPr>
              <w:t>(3,005)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(2,956)</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(1,039)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640"/>
        <w:spacing w:after="0" w:line="308" w:lineRule="auto"/>
        <w:rPr>
          <w:sz w:val="20"/>
          <w:szCs w:val="20"/>
          <w:color w:val="auto"/>
        </w:rPr>
      </w:pPr>
      <w:r>
        <w:rPr>
          <w:rFonts w:ascii="Arial" w:cs="Arial" w:eastAsia="Arial" w:hAnsi="Arial"/>
          <w:sz w:val="17"/>
          <w:szCs w:val="17"/>
          <w:color w:val="auto"/>
        </w:rPr>
        <w:t>The unrecognized revenue-producing assets that are held by the VIE are primarily self-developed intangible assets such as domain names, trademark, software copyrights and various licenses which are un-recognized at consolidated balance sheets.</w:t>
      </w:r>
    </w:p>
    <w:p>
      <w:pPr>
        <w:spacing w:after="0" w:line="38" w:lineRule="exact"/>
        <w:rPr>
          <w:sz w:val="20"/>
          <w:szCs w:val="20"/>
          <w:color w:val="auto"/>
        </w:rPr>
      </w:pPr>
    </w:p>
    <w:p>
      <w:pPr>
        <w:ind w:left="620"/>
        <w:spacing w:after="0" w:line="259" w:lineRule="auto"/>
        <w:rPr>
          <w:sz w:val="20"/>
          <w:szCs w:val="20"/>
          <w:color w:val="auto"/>
        </w:rPr>
      </w:pPr>
      <w:r>
        <w:rPr>
          <w:rFonts w:ascii="Arial" w:cs="Arial" w:eastAsia="Arial" w:hAnsi="Arial"/>
          <w:sz w:val="18"/>
          <w:szCs w:val="18"/>
          <w:color w:val="auto"/>
        </w:rPr>
        <w:t>The VIE contributed an aggregate of nil and 100% of the consolidated net revenues for the years ended December 31, 2012 and 2013, respectively. As of the fiscal years ended December 31, 2012 and 2013, the VIE accounted for an aggregate of 9.3% and 7.0%, respectively, of the consolidated total assets, and 51.0% and 81.3%, respectively, of the consolidated total liabilities. The assets that were not associated with the VIE primarily consist of cash and cash equivalents.</w:t>
      </w:r>
    </w:p>
    <w:p>
      <w:pPr>
        <w:spacing w:after="0" w:line="79" w:lineRule="exact"/>
        <w:rPr>
          <w:sz w:val="20"/>
          <w:szCs w:val="20"/>
          <w:color w:val="auto"/>
        </w:rPr>
      </w:pPr>
    </w:p>
    <w:p>
      <w:pPr>
        <w:ind w:left="620" w:right="60"/>
        <w:spacing w:after="0" w:line="289" w:lineRule="auto"/>
        <w:rPr>
          <w:sz w:val="20"/>
          <w:szCs w:val="20"/>
          <w:color w:val="auto"/>
        </w:rPr>
      </w:pPr>
      <w:r>
        <w:rPr>
          <w:rFonts w:ascii="Arial" w:cs="Arial" w:eastAsia="Arial" w:hAnsi="Arial"/>
          <w:sz w:val="16"/>
          <w:szCs w:val="16"/>
          <w:color w:val="auto"/>
        </w:rPr>
        <w:t>There are no consolidated VIE’s assets that are collateral for the VIE’s obligations and can only be used to settle the VIE’s obligations. There are no creditors (or beneficial interest holders) of the VIE that have recourse to the general credit of the Company or any of its consolidated subsidiaries. There are no terms in any arrangements, considering both explicit arrangements and implicit variable interests, that require the Company or its subsidiaries to provide financial support to the VIE. However, if the VIE ever needs financial support, the Company or its subsidiaries may, at its option and subject to statutory limits and restrictions, provide financial support to its VIE through loans to the shareholders of the VIE or entrustment loans to the VIE. Relevant PRC laws and regulations restrict the VIE from transferring a portion of its net assets, equivalent to the balance of its statutory reserve and its share capital, to the Company in the form of loans and advances or cash dividends. Please refer to Note 18 for disclosure of restricted net assets. The Group may lose the ability to use and enjoy assets held by VIE that are important to the operation of business if VIE declare bankruptcy or becomes subject to a dissolution or liquidation proceeding.</w:t>
      </w:r>
    </w:p>
    <w:p>
      <w:pPr>
        <w:spacing w:after="0" w:line="311" w:lineRule="exact"/>
        <w:rPr>
          <w:sz w:val="20"/>
          <w:szCs w:val="20"/>
          <w:color w:val="auto"/>
        </w:rPr>
      </w:pPr>
    </w:p>
    <w:p>
      <w:pPr>
        <w:ind w:left="620" w:right="7200" w:hanging="441"/>
        <w:spacing w:after="0" w:line="378" w:lineRule="auto"/>
        <w:tabs>
          <w:tab w:leader="none" w:pos="61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left="62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Group have been prepared in accordance with the accounting principles generally accepted in the United States of America (“U.S. GAAP”).</w:t>
      </w:r>
    </w:p>
    <w:p>
      <w:pPr>
        <w:spacing w:after="0" w:line="278"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consolidation</w:t>
      </w:r>
    </w:p>
    <w:p>
      <w:pPr>
        <w:spacing w:after="0" w:line="117" w:lineRule="exact"/>
        <w:rPr>
          <w:rFonts w:ascii="Arial" w:cs="Arial" w:eastAsia="Arial" w:hAnsi="Arial"/>
          <w:sz w:val="18"/>
          <w:szCs w:val="18"/>
          <w:b w:val="1"/>
          <w:bCs w:val="1"/>
          <w:color w:val="auto"/>
        </w:rPr>
      </w:pPr>
    </w:p>
    <w:p>
      <w:pPr>
        <w:ind w:left="62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Group include the financial statements of Momo Technology Company Limited, its subsidiaries, its VIE and VIE’s subsidiary. All inter-company transactions and balances have been eliminated upon consolidation.</w:t>
      </w:r>
    </w:p>
    <w:p>
      <w:pPr>
        <w:spacing w:after="0" w:line="278"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p>
    <w:p>
      <w:pPr>
        <w:spacing w:after="0" w:line="117" w:lineRule="exact"/>
        <w:rPr>
          <w:rFonts w:ascii="Arial" w:cs="Arial" w:eastAsia="Arial" w:hAnsi="Arial"/>
          <w:sz w:val="18"/>
          <w:szCs w:val="18"/>
          <w:b w:val="1"/>
          <w:bCs w:val="1"/>
          <w:color w:val="auto"/>
        </w:rPr>
      </w:pPr>
    </w:p>
    <w:p>
      <w:pPr>
        <w:ind w:left="62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revenues, cost and</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6460" w:hanging="452"/>
        <w:spacing w:after="0" w:line="454" w:lineRule="auto"/>
        <w:tabs>
          <w:tab w:leader="none" w:pos="449"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w:t>
      </w:r>
    </w:p>
    <w:p>
      <w:pPr>
        <w:spacing w:after="0" w:line="126" w:lineRule="exact"/>
        <w:rPr>
          <w:sz w:val="20"/>
          <w:szCs w:val="20"/>
          <w:color w:val="auto"/>
        </w:rPr>
      </w:pPr>
    </w:p>
    <w:p>
      <w:pPr>
        <w:ind w:left="620" w:right="260"/>
        <w:spacing w:after="0" w:line="312" w:lineRule="auto"/>
        <w:rPr>
          <w:sz w:val="20"/>
          <w:szCs w:val="20"/>
          <w:color w:val="auto"/>
        </w:rPr>
      </w:pPr>
      <w:r>
        <w:rPr>
          <w:rFonts w:ascii="Arial" w:cs="Arial" w:eastAsia="Arial" w:hAnsi="Arial"/>
          <w:sz w:val="16"/>
          <w:szCs w:val="16"/>
          <w:color w:val="auto"/>
        </w:rPr>
        <w:t>expenses in the financial statements and accompanying notes. Significant accounting estimates reflected in the Group’s consolidated financial statements include revenue recognition, the useful lives and impairment of property and equipment, valuation allowance for deferred tax assets, share-based compensation and fair value of the ordinary shares and convertible redeemable participating preferred shares.</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620" w:right="280"/>
        <w:spacing w:after="0" w:line="277" w:lineRule="auto"/>
        <w:rPr>
          <w:sz w:val="20"/>
          <w:szCs w:val="20"/>
          <w:color w:val="auto"/>
        </w:rPr>
      </w:pPr>
      <w:r>
        <w:rPr>
          <w:rFonts w:ascii="Arial" w:cs="Arial" w:eastAsia="Arial" w:hAnsi="Arial"/>
          <w:sz w:val="18"/>
          <w:szCs w:val="18"/>
          <w:color w:val="auto"/>
        </w:rPr>
        <w:t>Cash and cash equivalents consist of cash on hand and highly liquid investments, which are unrestricted from withdrawal or use, or which have original maturities of three months or less when purchased.</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left="620" w:right="340"/>
        <w:spacing w:after="0" w:line="257" w:lineRule="auto"/>
        <w:rPr>
          <w:sz w:val="20"/>
          <w:szCs w:val="20"/>
          <w:color w:val="auto"/>
        </w:rPr>
      </w:pPr>
      <w:r>
        <w:rPr>
          <w:rFonts w:ascii="Arial" w:cs="Arial" w:eastAsia="Arial" w:hAnsi="Arial"/>
          <w:sz w:val="18"/>
          <w:szCs w:val="18"/>
          <w:color w:val="auto"/>
        </w:rPr>
        <w:t>Accounts receivable primarily represents the cash due from third-party payment channels, net of allowance for doubtful accounts. The Group makes estimates for the allowance for doubtful accounts based upon its assessment of various factors, including the age of accounts receivable balances, credit quality of third party payment channels, current economic conditions and other factors that may affect their ability to pay. No allowance for doubtful accounts as of December 31, 2012 and 2013, respectively, was provided as there was no risk of collecting this account receivable.</w:t>
      </w:r>
    </w:p>
    <w:p>
      <w:pPr>
        <w:spacing w:after="0" w:line="29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620" w:right="60"/>
        <w:spacing w:after="0" w:line="277" w:lineRule="auto"/>
        <w:rPr>
          <w:sz w:val="20"/>
          <w:szCs w:val="20"/>
          <w:color w:val="auto"/>
        </w:rPr>
      </w:pPr>
      <w:r>
        <w:rPr>
          <w:rFonts w:ascii="Arial" w:cs="Arial" w:eastAsia="Arial" w:hAnsi="Arial"/>
          <w:sz w:val="18"/>
          <w:szCs w:val="18"/>
          <w:color w:val="auto"/>
        </w:rPr>
        <w:t>Financial instruments of the Group primarily consist of cash and cash equivalents, accounts receivable, accounts payable, cost method investment, deferred revenue and amount due from a related party.</w:t>
      </w:r>
    </w:p>
    <w:p>
      <w:pPr>
        <w:spacing w:after="0" w:line="62" w:lineRule="exact"/>
        <w:rPr>
          <w:sz w:val="20"/>
          <w:szCs w:val="20"/>
          <w:color w:val="auto"/>
        </w:rPr>
      </w:pPr>
    </w:p>
    <w:p>
      <w:pPr>
        <w:ind w:left="620" w:right="360"/>
        <w:spacing w:after="0" w:line="286" w:lineRule="auto"/>
        <w:rPr>
          <w:sz w:val="20"/>
          <w:szCs w:val="20"/>
          <w:color w:val="auto"/>
        </w:rPr>
      </w:pPr>
      <w:r>
        <w:rPr>
          <w:rFonts w:ascii="Arial" w:cs="Arial" w:eastAsia="Arial" w:hAnsi="Arial"/>
          <w:sz w:val="17"/>
          <w:szCs w:val="17"/>
          <w:color w:val="auto"/>
        </w:rPr>
        <w:t>The carrying values of cash, and cash equivalents, accounts receivable, accounts payable, deferred revenue and amount due from related party approximate their fair values due to short-term maturities. It is not practical to estimate the fair value of the Group’s cost method investment because of the lack of quoted market price and the inability to estimate fair value without incurring excessive costs.</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620"/>
        <w:spacing w:after="0" w:line="257" w:lineRule="auto"/>
        <w:rPr>
          <w:sz w:val="20"/>
          <w:szCs w:val="20"/>
          <w:color w:val="auto"/>
        </w:rPr>
      </w:pPr>
      <w:r>
        <w:rPr>
          <w:rFonts w:ascii="Arial" w:cs="Arial" w:eastAsia="Arial" w:hAnsi="Arial"/>
          <w:sz w:val="18"/>
          <w:szCs w:val="18"/>
          <w:color w:val="auto"/>
        </w:rPr>
        <w:t>The Renminbi (“RMB”) is not a freely convertible currency. The State Administration for Foreign Exchange, under the authority of the People’s Bank of China, controls the conversion of RMB into foreign currencies. The value of the RMB is subject to changes in central government policies and to international economic and political developments affecting supply and demand in the China Foreign Exchange Trading System market. Cash and cash equivalents of the Group included aggregate amounts of $687 and $3,723 as of December 31, 2012 and 2013, respectively, which were denominated in RMB.</w:t>
      </w:r>
    </w:p>
    <w:p>
      <w:pPr>
        <w:spacing w:after="0" w:line="29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620" w:right="40"/>
        <w:spacing w:after="0" w:line="264" w:lineRule="auto"/>
        <w:rPr>
          <w:sz w:val="20"/>
          <w:szCs w:val="20"/>
          <w:color w:val="auto"/>
        </w:rPr>
      </w:pPr>
      <w:r>
        <w:rPr>
          <w:rFonts w:ascii="Arial" w:cs="Arial" w:eastAsia="Arial" w:hAnsi="Arial"/>
          <w:sz w:val="18"/>
          <w:szCs w:val="18"/>
          <w:color w:val="auto"/>
        </w:rPr>
        <w:t>Financial instruments that potentially expose the Group to concentration of credit risk consist primarily of cash and cash equivalents, and accounts receivable. The Group places their cash with financial institutions with high-credit ratings and quality. No user accounted for 10% or more of total revenues for the years ended December 31, 2012 and 2013, respectively.</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SIGNIFICANT ACCOUNTING POLICIES -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w:t>
      </w:r>
    </w:p>
    <w:p>
      <w:pPr>
        <w:spacing w:after="0" w:line="3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Third-party payment channels accounting for 10% or more of accounts receivables are as follows:</w:t>
      </w:r>
    </w:p>
    <w:p>
      <w:pPr>
        <w:spacing w:after="0" w:line="244"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84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8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B</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bl>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Cost method investment</w:t>
      </w:r>
    </w:p>
    <w:p>
      <w:pPr>
        <w:spacing w:after="0" w:line="117" w:lineRule="exact"/>
        <w:rPr>
          <w:sz w:val="20"/>
          <w:szCs w:val="20"/>
          <w:color w:val="auto"/>
        </w:rPr>
      </w:pPr>
    </w:p>
    <w:p>
      <w:pPr>
        <w:ind w:left="620" w:right="80"/>
        <w:spacing w:after="0" w:line="297" w:lineRule="auto"/>
        <w:rPr>
          <w:sz w:val="20"/>
          <w:szCs w:val="20"/>
          <w:color w:val="auto"/>
        </w:rPr>
      </w:pPr>
      <w:r>
        <w:rPr>
          <w:rFonts w:ascii="Arial" w:cs="Arial" w:eastAsia="Arial" w:hAnsi="Arial"/>
          <w:sz w:val="16"/>
          <w:szCs w:val="16"/>
          <w:color w:val="auto"/>
        </w:rPr>
        <w:t>For investments in an investee over which the Company does not have significant influence, the Company carries the investment at cost and recognizes income as any dividends declared from distribution of investee’s earnings. The Company reviews the cost method investments for impairment whenever events or changes in circumstances indicate that the carrying value may no longer be recoverable. An impairment loss is recognized in earnings equal to the difference between the investment’s cost and its fair value at the balance sheet date of the reporting period for which the assessment is made. The fair value of the investment would then become the new cost basis of the investment.</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620" w:right="36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calculated on a straight-line basis over the following estimated useful lives:</w:t>
      </w:r>
    </w:p>
    <w:p>
      <w:pPr>
        <w:spacing w:after="0" w:line="197"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Office equipment</w:t>
            </w:r>
          </w:p>
        </w:tc>
        <w:tc>
          <w:tcPr>
            <w:tcW w:w="600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Computer equipment</w:t>
            </w:r>
          </w:p>
        </w:tc>
        <w:tc>
          <w:tcPr>
            <w:tcW w:w="600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Vehicles</w:t>
            </w:r>
          </w:p>
        </w:tc>
        <w:tc>
          <w:tcPr>
            <w:tcW w:w="600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Leasehold improvement</w:t>
            </w:r>
          </w:p>
        </w:tc>
        <w:tc>
          <w:tcPr>
            <w:tcW w:w="6000" w:type="dxa"/>
            <w:vAlign w:val="bottom"/>
          </w:tcPr>
          <w:p>
            <w:pPr>
              <w:jc w:val="right"/>
              <w:spacing w:after="0"/>
              <w:rPr>
                <w:sz w:val="20"/>
                <w:szCs w:val="20"/>
                <w:color w:val="auto"/>
              </w:rPr>
            </w:pPr>
            <w:r>
              <w:rPr>
                <w:rFonts w:ascii="Arial" w:cs="Arial" w:eastAsia="Arial" w:hAnsi="Arial"/>
                <w:sz w:val="18"/>
                <w:szCs w:val="18"/>
                <w:color w:val="auto"/>
              </w:rPr>
              <w:t>Shorter of the lease term or estimated useful lives</w:t>
            </w: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620"/>
        <w:spacing w:after="0" w:line="257" w:lineRule="auto"/>
        <w:rPr>
          <w:sz w:val="20"/>
          <w:szCs w:val="20"/>
          <w:color w:val="auto"/>
        </w:rPr>
      </w:pPr>
      <w:r>
        <w:rPr>
          <w:rFonts w:ascii="Arial" w:cs="Arial" w:eastAsia="Arial" w:hAnsi="Arial"/>
          <w:sz w:val="18"/>
          <w:szCs w:val="18"/>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based on the fair value of the assets.</w:t>
      </w:r>
    </w:p>
    <w:p>
      <w:pPr>
        <w:spacing w:after="0" w:line="29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ind w:left="620" w:right="20"/>
        <w:spacing w:after="0" w:line="259"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240" w:top="460"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6460" w:hanging="452"/>
        <w:spacing w:after="0" w:line="454" w:lineRule="auto"/>
        <w:tabs>
          <w:tab w:leader="none" w:pos="449"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 continued</w:t>
      </w:r>
    </w:p>
    <w:p>
      <w:pPr>
        <w:spacing w:after="0" w:line="126" w:lineRule="exact"/>
        <w:rPr>
          <w:sz w:val="20"/>
          <w:szCs w:val="20"/>
          <w:color w:val="auto"/>
        </w:rPr>
      </w:pPr>
    </w:p>
    <w:p>
      <w:pPr>
        <w:ind w:left="620"/>
        <w:spacing w:after="0" w:line="264" w:lineRule="auto"/>
        <w:rPr>
          <w:sz w:val="20"/>
          <w:szCs w:val="20"/>
          <w:color w:val="auto"/>
        </w:rPr>
      </w:pPr>
      <w:r>
        <w:rPr>
          <w:rFonts w:ascii="Arial" w:cs="Arial" w:eastAsia="Arial" w:hAnsi="Arial"/>
          <w:sz w:val="18"/>
          <w:szCs w:val="18"/>
          <w:color w:val="auto"/>
        </w:rPr>
        <w:t>Authoritative literature provides a fair value hierarchy that requires an entity to maximize the use of observable inputs and minimize the use of unobservable inputs when measuring fair value. An asset or liability categorization within the fair value hierarchy is based upon the lowest level of input that is significant to the fair value measurement as follows:</w:t>
      </w:r>
    </w:p>
    <w:p>
      <w:pPr>
        <w:spacing w:after="0" w:line="28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Level 1</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Level 2</w:t>
      </w:r>
    </w:p>
    <w:p>
      <w:pPr>
        <w:spacing w:after="0" w:line="117" w:lineRule="exact"/>
        <w:rPr>
          <w:sz w:val="20"/>
          <w:szCs w:val="20"/>
          <w:color w:val="auto"/>
        </w:rPr>
      </w:pPr>
    </w:p>
    <w:p>
      <w:pPr>
        <w:jc w:val="both"/>
        <w:ind w:left="620" w:right="120"/>
        <w:spacing w:after="0" w:line="259" w:lineRule="auto"/>
        <w:rPr>
          <w:sz w:val="20"/>
          <w:szCs w:val="20"/>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Level 3</w:t>
      </w:r>
    </w:p>
    <w:p>
      <w:pPr>
        <w:spacing w:after="0" w:line="117" w:lineRule="exact"/>
        <w:rPr>
          <w:sz w:val="20"/>
          <w:szCs w:val="20"/>
          <w:color w:val="auto"/>
        </w:rPr>
      </w:pPr>
    </w:p>
    <w:p>
      <w:pPr>
        <w:ind w:left="620" w:right="40"/>
        <w:spacing w:after="0" w:line="277" w:lineRule="auto"/>
        <w:rPr>
          <w:sz w:val="20"/>
          <w:szCs w:val="20"/>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20" w:right="100"/>
        <w:spacing w:after="0" w:line="312" w:lineRule="auto"/>
        <w:rPr>
          <w:sz w:val="20"/>
          <w:szCs w:val="20"/>
          <w:color w:val="auto"/>
        </w:rPr>
      </w:pPr>
      <w:r>
        <w:rPr>
          <w:rFonts w:ascii="Arial" w:cs="Arial" w:eastAsia="Arial" w:hAnsi="Arial"/>
          <w:sz w:val="16"/>
          <w:szCs w:val="16"/>
          <w:color w:val="auto"/>
        </w:rPr>
        <w:t>The Group recognizes revenue when persuasive evidence of an arrangement exists, delivery has occurred, the sales price is fixed or determinable, and collectability is reasonably assured. The Group principally derives its revenue from membership subscription services, offering the platform for mobile games developed by third parties and other services, including the use of the paid emoticons and mobile marketing services.</w:t>
      </w:r>
    </w:p>
    <w:p>
      <w:pPr>
        <w:spacing w:after="0" w:line="295" w:lineRule="exact"/>
        <w:rPr>
          <w:sz w:val="20"/>
          <w:szCs w:val="20"/>
          <w:color w:val="auto"/>
        </w:rPr>
      </w:pPr>
    </w:p>
    <w:p>
      <w:pPr>
        <w:ind w:left="1040" w:hanging="429"/>
        <w:spacing w:after="0"/>
        <w:tabs>
          <w:tab w:leader="none" w:pos="10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Membership Subscription</w:t>
      </w:r>
    </w:p>
    <w:p>
      <w:pPr>
        <w:spacing w:after="0" w:line="117" w:lineRule="exact"/>
        <w:rPr>
          <w:sz w:val="20"/>
          <w:szCs w:val="20"/>
          <w:color w:val="auto"/>
        </w:rPr>
      </w:pPr>
    </w:p>
    <w:p>
      <w:pPr>
        <w:ind w:left="1060" w:right="140"/>
        <w:spacing w:after="0" w:line="259" w:lineRule="auto"/>
        <w:rPr>
          <w:sz w:val="20"/>
          <w:szCs w:val="20"/>
          <w:color w:val="auto"/>
        </w:rPr>
      </w:pPr>
      <w:r>
        <w:rPr>
          <w:rFonts w:ascii="Arial" w:cs="Arial" w:eastAsia="Arial" w:hAnsi="Arial"/>
          <w:sz w:val="18"/>
          <w:szCs w:val="18"/>
          <w:color w:val="auto"/>
        </w:rPr>
        <w:t>Membership subscription is a service package which enables members to enjoy additional functions and privileges. The contract period for the membership subscription ranges from one month to one year. All membership subscription is nonrefundable. The Group collects membership subscription in advance and records it as deferred revenue. Revenue is recognized ratably over the contract period for the membership subscription services.</w:t>
      </w:r>
    </w:p>
    <w:p>
      <w:pPr>
        <w:spacing w:after="0" w:line="79" w:lineRule="exact"/>
        <w:rPr>
          <w:sz w:val="20"/>
          <w:szCs w:val="20"/>
          <w:color w:val="auto"/>
        </w:rPr>
      </w:pPr>
    </w:p>
    <w:p>
      <w:pPr>
        <w:ind w:left="1060" w:right="860"/>
        <w:spacing w:after="0" w:line="277" w:lineRule="auto"/>
        <w:rPr>
          <w:sz w:val="20"/>
          <w:szCs w:val="20"/>
          <w:color w:val="auto"/>
        </w:rPr>
      </w:pPr>
      <w:r>
        <w:rPr>
          <w:rFonts w:ascii="Arial" w:cs="Arial" w:eastAsia="Arial" w:hAnsi="Arial"/>
          <w:sz w:val="18"/>
          <w:szCs w:val="18"/>
          <w:color w:val="auto"/>
        </w:rPr>
        <w:t>Net revenues of $nil and $2,808 were recognized for membership subscription for the years ended December 31, 2012 and 2013, respectively.</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6480" w:hanging="452"/>
        <w:spacing w:after="0" w:line="454" w:lineRule="auto"/>
        <w:tabs>
          <w:tab w:leader="none" w:pos="449"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w:t>
      </w:r>
    </w:p>
    <w:p>
      <w:pPr>
        <w:spacing w:after="0" w:line="126" w:lineRule="exact"/>
        <w:rPr>
          <w:sz w:val="20"/>
          <w:szCs w:val="20"/>
          <w:color w:val="auto"/>
        </w:rPr>
      </w:pPr>
    </w:p>
    <w:p>
      <w:pPr>
        <w:ind w:left="1040" w:hanging="429"/>
        <w:spacing w:after="0"/>
        <w:tabs>
          <w:tab w:leader="none" w:pos="10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Mobile Games</w:t>
      </w:r>
    </w:p>
    <w:p>
      <w:pPr>
        <w:spacing w:after="0" w:line="117" w:lineRule="exact"/>
        <w:rPr>
          <w:sz w:val="20"/>
          <w:szCs w:val="20"/>
          <w:color w:val="auto"/>
        </w:rPr>
      </w:pPr>
    </w:p>
    <w:p>
      <w:pPr>
        <w:ind w:left="1060"/>
        <w:spacing w:after="0" w:line="269" w:lineRule="auto"/>
        <w:rPr>
          <w:sz w:val="20"/>
          <w:szCs w:val="20"/>
          <w:color w:val="auto"/>
        </w:rPr>
      </w:pPr>
      <w:r>
        <w:rPr>
          <w:rFonts w:ascii="Arial" w:cs="Arial" w:eastAsia="Arial" w:hAnsi="Arial"/>
          <w:sz w:val="17"/>
          <w:szCs w:val="17"/>
          <w:color w:val="auto"/>
        </w:rPr>
        <w:t>The Group provides game services and generates revenue from offering the platform for mobile games developed by third-party game developers. All of the games are developed by third-party game developers and can be accessed and played by game players directly through the Group’s mobile game platform. The Group primarily views the game developers to be its customers and considers its responsibility under its agreements with the game developers to be promotion of the game developers’ games. The Group generally collects payments from game players in connection with the sale of in-game currencies and remits certain agreed-upon percentages of the proceeds to the game developers and records revenue net of remittances. Revenue from the sale of in-game currencies is primarily recorded net of remittances to game developers and deferred until the estimated consumption date by individual game, (i.e., the estimated date in-game currencies are consumed within the game), which is typically within a short period of time after purchase of the in-game currencies. Purchases of in-game currencies are not refundable after they have been sold unless there is unused in-game currencies at the time a game is discontinued. Typically, a game will only be discontinued when the monthly revenue generated by a game becomes consistently insignificant. In its short history of providing mobile game services, the Group has never been required to pay cash refunds to game players or game developers in connection with a discontinued game.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Net revenues of $nil and $92 were recognized for mobile games for the years ended December 31, 2012 and 2013, respectively.</w:t>
      </w:r>
    </w:p>
    <w:p>
      <w:pPr>
        <w:spacing w:after="0" w:line="374" w:lineRule="exact"/>
        <w:rPr>
          <w:sz w:val="20"/>
          <w:szCs w:val="20"/>
          <w:color w:val="auto"/>
        </w:rPr>
      </w:pPr>
    </w:p>
    <w:p>
      <w:pPr>
        <w:ind w:left="1040" w:hanging="429"/>
        <w:spacing w:after="0"/>
        <w:tabs>
          <w:tab w:leader="none" w:pos="10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Paid Emoticons</w:t>
      </w:r>
    </w:p>
    <w:p>
      <w:pPr>
        <w:spacing w:after="0" w:line="117" w:lineRule="exact"/>
        <w:rPr>
          <w:sz w:val="20"/>
          <w:szCs w:val="20"/>
          <w:color w:val="auto"/>
        </w:rPr>
      </w:pPr>
    </w:p>
    <w:p>
      <w:pPr>
        <w:ind w:left="1060" w:right="240"/>
        <w:spacing w:after="0" w:line="264" w:lineRule="auto"/>
        <w:rPr>
          <w:sz w:val="20"/>
          <w:szCs w:val="20"/>
          <w:color w:val="auto"/>
        </w:rPr>
      </w:pPr>
      <w:r>
        <w:rPr>
          <w:rFonts w:ascii="Arial" w:cs="Arial" w:eastAsia="Arial" w:hAnsi="Arial"/>
          <w:sz w:val="18"/>
          <w:szCs w:val="18"/>
          <w:color w:val="auto"/>
        </w:rPr>
        <w:t>All paid emoticons are durable with indefinite lives and each of them is effective upon purchase payment made by an user and completely download. The price of each emoticon is fixed and identifiable. The revenue is recognized ratably over the estimated usage life of the emoticon (i.e. 180 days) by the user from the date of the emoticon is downloaded.</w:t>
      </w:r>
    </w:p>
    <w:p>
      <w:pPr>
        <w:spacing w:after="0" w:line="73" w:lineRule="exact"/>
        <w:rPr>
          <w:sz w:val="20"/>
          <w:szCs w:val="20"/>
          <w:color w:val="auto"/>
        </w:rPr>
      </w:pPr>
    </w:p>
    <w:p>
      <w:pPr>
        <w:ind w:left="1060" w:right="140"/>
        <w:spacing w:after="0" w:line="308" w:lineRule="auto"/>
        <w:rPr>
          <w:sz w:val="20"/>
          <w:szCs w:val="20"/>
          <w:color w:val="auto"/>
        </w:rPr>
      </w:pPr>
      <w:r>
        <w:rPr>
          <w:rFonts w:ascii="Arial" w:cs="Arial" w:eastAsia="Arial" w:hAnsi="Arial"/>
          <w:sz w:val="17"/>
          <w:szCs w:val="17"/>
          <w:color w:val="auto"/>
        </w:rPr>
        <w:t>The Group reassesses the estimated lives periodically. If there are indications of any significant changes to their estimated lives, the revised estimates will be applied prospectively in the period of change to all existing emoticons which are not totally amortized.</w:t>
      </w:r>
    </w:p>
    <w:p>
      <w:pPr>
        <w:spacing w:after="0" w:line="38" w:lineRule="exact"/>
        <w:rPr>
          <w:sz w:val="20"/>
          <w:szCs w:val="20"/>
          <w:color w:val="auto"/>
        </w:rPr>
      </w:pPr>
    </w:p>
    <w:p>
      <w:pPr>
        <w:ind w:left="1060" w:right="240"/>
        <w:spacing w:after="0" w:line="277" w:lineRule="auto"/>
        <w:rPr>
          <w:sz w:val="20"/>
          <w:szCs w:val="20"/>
          <w:color w:val="auto"/>
        </w:rPr>
      </w:pPr>
      <w:r>
        <w:rPr>
          <w:rFonts w:ascii="Arial" w:cs="Arial" w:eastAsia="Arial" w:hAnsi="Arial"/>
          <w:sz w:val="18"/>
          <w:szCs w:val="18"/>
          <w:color w:val="auto"/>
        </w:rPr>
        <w:t>Net revenues of $nil and $217 were recognized for the use of emoticons on its platform for the years ended December 31, 2012 and 2013, respectively.</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620" w:right="40"/>
        <w:spacing w:after="0" w:line="342" w:lineRule="auto"/>
        <w:rPr>
          <w:sz w:val="20"/>
          <w:szCs w:val="20"/>
          <w:color w:val="auto"/>
        </w:rPr>
      </w:pPr>
      <w:r>
        <w:rPr>
          <w:rFonts w:ascii="Arial" w:cs="Arial" w:eastAsia="Arial" w:hAnsi="Arial"/>
          <w:sz w:val="16"/>
          <w:szCs w:val="16"/>
          <w:color w:val="auto"/>
        </w:rPr>
        <w:t>Deferred revenue primarily includes cash received in advance from users. The unused cash balances remaining in users’ accounts are recorded as a liability. Deferred revenue related to prepayments from users will be recognized as revenue when all of the revenue recognition criteria are met.</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Cost of revenues consist of expenditures incurred in the generation of the Group’s revenues, includes but not limited to salaries and benefits paid to employee, commission fee paid to third-party service providers,</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6460" w:hanging="452"/>
        <w:spacing w:after="0" w:line="454" w:lineRule="auto"/>
        <w:tabs>
          <w:tab w:leader="none" w:pos="449"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 continued</w:t>
      </w:r>
    </w:p>
    <w:p>
      <w:pPr>
        <w:spacing w:after="0" w:line="126" w:lineRule="exact"/>
        <w:rPr>
          <w:sz w:val="20"/>
          <w:szCs w:val="20"/>
          <w:color w:val="auto"/>
        </w:rPr>
      </w:pPr>
    </w:p>
    <w:p>
      <w:pPr>
        <w:ind w:left="620" w:right="20"/>
        <w:spacing w:after="0" w:line="259" w:lineRule="auto"/>
        <w:rPr>
          <w:sz w:val="20"/>
          <w:szCs w:val="20"/>
          <w:color w:val="auto"/>
        </w:rPr>
      </w:pPr>
      <w:r>
        <w:rPr>
          <w:rFonts w:ascii="Arial" w:cs="Arial" w:eastAsia="Arial" w:hAnsi="Arial"/>
          <w:sz w:val="18"/>
          <w:szCs w:val="18"/>
          <w:color w:val="auto"/>
        </w:rPr>
        <w:t>bandwidth costs, short messaging service charges, and depreciation. These costs are expensed as incurred except for the direct and incremental platform commission fees to third-party are deferred in “Prepaid expenses and other current assets” on the consolidated balance sheets. The deferred platform commissions are recognized in the consolidated statements of operations in “Cost of revenues” in the period in which the related revenues are recognized.</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117" w:lineRule="exact"/>
        <w:rPr>
          <w:sz w:val="20"/>
          <w:szCs w:val="20"/>
          <w:color w:val="auto"/>
        </w:rPr>
      </w:pPr>
    </w:p>
    <w:p>
      <w:pPr>
        <w:ind w:left="620" w:right="240"/>
        <w:spacing w:after="0" w:line="277" w:lineRule="auto"/>
        <w:rPr>
          <w:sz w:val="20"/>
          <w:szCs w:val="20"/>
          <w:color w:val="auto"/>
        </w:rPr>
      </w:pPr>
      <w:r>
        <w:rPr>
          <w:rFonts w:ascii="Arial" w:cs="Arial" w:eastAsia="Arial" w:hAnsi="Arial"/>
          <w:sz w:val="18"/>
          <w:szCs w:val="18"/>
          <w:color w:val="auto"/>
        </w:rPr>
        <w:t>The Group records such government subsidies as a liability when it is received and records it as other operating income when there is no further performance obligation.</w:t>
      </w:r>
    </w:p>
    <w:p>
      <w:pPr>
        <w:spacing w:after="0" w:line="62" w:lineRule="exact"/>
        <w:rPr>
          <w:sz w:val="20"/>
          <w:szCs w:val="20"/>
          <w:color w:val="auto"/>
        </w:rPr>
      </w:pPr>
    </w:p>
    <w:p>
      <w:pPr>
        <w:ind w:left="620" w:right="100"/>
        <w:spacing w:after="0" w:line="264" w:lineRule="auto"/>
        <w:rPr>
          <w:sz w:val="20"/>
          <w:szCs w:val="20"/>
          <w:color w:val="auto"/>
        </w:rPr>
      </w:pPr>
      <w:r>
        <w:rPr>
          <w:rFonts w:ascii="Arial" w:cs="Arial" w:eastAsia="Arial" w:hAnsi="Arial"/>
          <w:sz w:val="18"/>
          <w:szCs w:val="18"/>
          <w:color w:val="auto"/>
        </w:rPr>
        <w:t>The Group received government subsidies $nil and $330 in relation to a government sponsored project on development and research of games for the years ended December 31, 2012 and 2013, respectively, and recorded $nil and $nil government subsidies as other operating income for the years ended December 31, 2012 and 2013, respectively.</w:t>
      </w:r>
    </w:p>
    <w:p>
      <w:pPr>
        <w:spacing w:after="0" w:line="28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20" w:right="300"/>
        <w:spacing w:after="0" w:line="279" w:lineRule="auto"/>
        <w:rPr>
          <w:sz w:val="20"/>
          <w:szCs w:val="20"/>
          <w:color w:val="auto"/>
        </w:rPr>
      </w:pPr>
      <w:r>
        <w:rPr>
          <w:rFonts w:ascii="Arial" w:cs="Arial" w:eastAsia="Arial" w:hAnsi="Arial"/>
          <w:sz w:val="17"/>
          <w:szCs w:val="17"/>
          <w:color w:val="auto"/>
        </w:rPr>
        <w:t>Research and development expenses primarily consist of (i) salaries and benefits for research and development personnel, and (ii) office rental, general expenses and depreciation expenses associated with the research and development activities. The Group’s research and development activities primarily consist of the research and development of new features for its mobile platform and its self-developed mobile games. The Company has expensed all research and development expenses when incurred.</w:t>
      </w:r>
    </w:p>
    <w:p>
      <w:pPr>
        <w:spacing w:after="0" w:line="28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Value added taxes</w:t>
      </w:r>
    </w:p>
    <w:p>
      <w:pPr>
        <w:spacing w:after="0" w:line="117" w:lineRule="exact"/>
        <w:rPr>
          <w:sz w:val="20"/>
          <w:szCs w:val="20"/>
          <w:color w:val="auto"/>
        </w:rPr>
      </w:pPr>
    </w:p>
    <w:p>
      <w:pPr>
        <w:ind w:left="620"/>
        <w:spacing w:after="0" w:line="270" w:lineRule="auto"/>
        <w:rPr>
          <w:sz w:val="20"/>
          <w:szCs w:val="20"/>
          <w:color w:val="auto"/>
        </w:rPr>
      </w:pPr>
      <w:r>
        <w:rPr>
          <w:rFonts w:ascii="Arial" w:cs="Arial" w:eastAsia="Arial" w:hAnsi="Arial"/>
          <w:sz w:val="17"/>
          <w:szCs w:val="17"/>
          <w:color w:val="auto"/>
        </w:rPr>
        <w:t>On January 1, 2012, the PRC Ministry of Finance and the State Administration of Taxation officially launched a pilot value-added tax (“VAT”) reform program (“Pilot Program”), applicable to businesses in selected industries. Businesses in the Pilot Program would pay VAT instead of business tax. The Pilot Program initially applied only to transportation industry and “modern service industries” (“Pilot Industries”) in Shanghai and subsequently was expanded to ten other provinces and municipalities between August and December 2012. Since September 1, 2012, certain revenue generated from providing services which were previously subject to business tax became subject to VAT and related surcharges by various Chinese local tax authorities at rate of 6.72%. VAT is also reported as a deduction to revenue when incurred and amounted to $nil, and $392 for the years ended December 31, 2012 and 2013, respectively. Entities that are VAT general taxpayers are allowed to offset qualified input VAT paid to suppliers against their output VAT liabilities. Net VAT balance between input VAT and output VAT is recorded in the line item of accrued expenses and other current liabilities on the consolidated balance sheets.</w:t>
      </w:r>
    </w:p>
    <w:p>
      <w:pPr>
        <w:spacing w:after="0" w:line="29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620" w:right="120"/>
        <w:spacing w:after="0" w:line="264" w:lineRule="auto"/>
        <w:rPr>
          <w:sz w:val="20"/>
          <w:szCs w:val="20"/>
          <w:color w:val="auto"/>
        </w:rPr>
      </w:pPr>
      <w:r>
        <w:rPr>
          <w:rFonts w:ascii="Arial" w:cs="Arial" w:eastAsia="Arial" w:hAnsi="Arial"/>
          <w:sz w:val="18"/>
          <w:szCs w:val="18"/>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6480" w:hanging="452"/>
        <w:spacing w:after="0" w:line="454" w:lineRule="auto"/>
        <w:tabs>
          <w:tab w:leader="none" w:pos="449"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b w:val="1"/>
          <w:bCs w:val="1"/>
          <w:i w:val="1"/>
          <w:iCs w:val="1"/>
          <w:color w:val="auto"/>
        </w:rPr>
        <w:t xml:space="preserve">Income taxes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w:t>
      </w:r>
    </w:p>
    <w:p>
      <w:pPr>
        <w:spacing w:after="0" w:line="126" w:lineRule="exact"/>
        <w:rPr>
          <w:sz w:val="20"/>
          <w:szCs w:val="20"/>
          <w:color w:val="auto"/>
        </w:rPr>
      </w:pPr>
    </w:p>
    <w:p>
      <w:pPr>
        <w:ind w:left="620" w:right="120"/>
        <w:spacing w:after="0" w:line="286" w:lineRule="auto"/>
        <w:rPr>
          <w:sz w:val="20"/>
          <w:szCs w:val="20"/>
          <w:color w:val="auto"/>
        </w:rPr>
      </w:pPr>
      <w:r>
        <w:rPr>
          <w:rFonts w:ascii="Arial" w:cs="Arial" w:eastAsia="Arial" w:hAnsi="Arial"/>
          <w:sz w:val="17"/>
          <w:szCs w:val="17"/>
          <w:color w:val="auto"/>
        </w:rPr>
        <w:t>credits are applied using enacted statutory tax rates applicable to future years. Deferred tax assets are reduced by a valuation allowance when, in the opinion of management, it is more-likely-than-not that a portion of or all of the deferred tax assets will not be realized. The components of the deferred tax assets and liabilities are individually classified as current and non-current based on their characteristics.</w:t>
      </w:r>
    </w:p>
    <w:p>
      <w:pPr>
        <w:spacing w:after="0" w:line="57" w:lineRule="exact"/>
        <w:rPr>
          <w:sz w:val="20"/>
          <w:szCs w:val="20"/>
          <w:color w:val="auto"/>
        </w:rPr>
      </w:pPr>
    </w:p>
    <w:p>
      <w:pPr>
        <w:ind w:left="620" w:right="220"/>
        <w:spacing w:after="0" w:line="257" w:lineRule="auto"/>
        <w:rPr>
          <w:sz w:val="20"/>
          <w:szCs w:val="20"/>
          <w:color w:val="auto"/>
        </w:rPr>
      </w:pPr>
      <w:r>
        <w:rPr>
          <w:rFonts w:ascii="Arial" w:cs="Arial" w:eastAsia="Arial" w:hAnsi="Arial"/>
          <w:sz w:val="18"/>
          <w:szCs w:val="18"/>
          <w:color w:val="auto"/>
        </w:rPr>
        <w:t>The impact of an uncertain income tax position on the income tax return is recognized at the largest amount that is more-likely-than-not to be sustained upon audit by the relevant tax authority. An uncertain income tax position will not be recognized if it has less than a 50% likelihood of being sustained. Interest and penalties on income taxes will be classified as a component of the provisions for income taxes. The Group did not recognize any income tax due to uncertain tax position or incur any interest and penalties related to potential underpaid income tax expenses for the years ended December 31, 2012 or 2013, respectively.</w:t>
      </w:r>
    </w:p>
    <w:p>
      <w:pPr>
        <w:spacing w:after="0" w:line="29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620" w:right="60"/>
        <w:spacing w:after="0" w:line="342" w:lineRule="auto"/>
        <w:rPr>
          <w:sz w:val="20"/>
          <w:szCs w:val="20"/>
          <w:color w:val="auto"/>
        </w:rPr>
      </w:pPr>
      <w:r>
        <w:rPr>
          <w:rFonts w:ascii="Arial" w:cs="Arial" w:eastAsia="Arial" w:hAnsi="Arial"/>
          <w:sz w:val="16"/>
          <w:szCs w:val="16"/>
          <w:color w:val="auto"/>
        </w:rPr>
        <w:t>The functional and reporting currency of the Company is the United States dollar (“U.S. dollar”). The financial records of the Group’s subsidiaries and VIE located in the PRC are maintained in their local currencies, the RMB, which are also the functional currencies of these entities.</w:t>
      </w:r>
    </w:p>
    <w:p>
      <w:pPr>
        <w:spacing w:after="0" w:line="16" w:lineRule="exact"/>
        <w:rPr>
          <w:sz w:val="20"/>
          <w:szCs w:val="20"/>
          <w:color w:val="auto"/>
        </w:rPr>
      </w:pPr>
    </w:p>
    <w:p>
      <w:pPr>
        <w:ind w:left="620" w:right="140"/>
        <w:spacing w:after="0" w:line="259" w:lineRule="auto"/>
        <w:rPr>
          <w:sz w:val="20"/>
          <w:szCs w:val="20"/>
          <w:color w:val="auto"/>
        </w:rPr>
      </w:pPr>
      <w:r>
        <w:rPr>
          <w:rFonts w:ascii="Arial" w:cs="Arial" w:eastAsia="Arial" w:hAnsi="Arial"/>
          <w:sz w:val="18"/>
          <w:szCs w:val="18"/>
          <w:color w:val="auto"/>
        </w:rPr>
        <w:t>Monetary assets and liabilities denominated in currencies other than the functional currency are translated into the functional currency at the rates of exchange ruling at the balance sheet date. Transactions in currencies other than the functional currency during the year are converted into functional currency at the applicable rates of exchange prevailing when the transactions occurred. Transaction gains and losses are recognized in the statement of operations.</w:t>
      </w:r>
    </w:p>
    <w:p>
      <w:pPr>
        <w:spacing w:after="0" w:line="79" w:lineRule="exact"/>
        <w:rPr>
          <w:sz w:val="20"/>
          <w:szCs w:val="20"/>
          <w:color w:val="auto"/>
        </w:rPr>
      </w:pPr>
    </w:p>
    <w:p>
      <w:pPr>
        <w:ind w:left="620"/>
        <w:spacing w:after="0" w:line="259" w:lineRule="auto"/>
        <w:rPr>
          <w:sz w:val="20"/>
          <w:szCs w:val="20"/>
          <w:color w:val="auto"/>
        </w:rPr>
      </w:pPr>
      <w:r>
        <w:rPr>
          <w:rFonts w:ascii="Arial" w:cs="Arial" w:eastAsia="Arial" w:hAnsi="Arial"/>
          <w:sz w:val="18"/>
          <w:szCs w:val="18"/>
          <w:color w:val="auto"/>
        </w:rPr>
        <w:t>The Group’s entities with functional currency of RMB, translate their operating results and financial positions into the U.S. dollar, the Group’s reporting currency. Assets and liabilities are translated using the exchange rates in effect on the balance sheet date. Revenues, expenses, gains and losses are translated using the average rate for the year. Translation adjustments are report as cumulative translation adjustments and are shown as a separate component of comprehensive loss.</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620" w:right="160"/>
        <w:spacing w:after="0" w:line="342" w:lineRule="auto"/>
        <w:rPr>
          <w:sz w:val="20"/>
          <w:szCs w:val="20"/>
          <w:color w:val="auto"/>
        </w:rPr>
      </w:pPr>
      <w:r>
        <w:rPr>
          <w:rFonts w:ascii="Arial" w:cs="Arial" w:eastAsia="Arial" w:hAnsi="Arial"/>
          <w:sz w:val="16"/>
          <w:szCs w:val="16"/>
          <w:color w:val="auto"/>
        </w:rPr>
        <w:t>Leases where the rewards and risks of ownership of assets primarily remain with the lessor are accounted for as operating leases. Payments made under operating leases are charged to the consolidated statements of operations on a straight-line basis over the lease periods.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left="620"/>
        <w:spacing w:after="0" w:line="342" w:lineRule="auto"/>
        <w:rPr>
          <w:sz w:val="20"/>
          <w:szCs w:val="20"/>
          <w:color w:val="auto"/>
        </w:rPr>
      </w:pPr>
      <w:r>
        <w:rPr>
          <w:rFonts w:ascii="Arial" w:cs="Arial" w:eastAsia="Arial" w:hAnsi="Arial"/>
          <w:sz w:val="16"/>
          <w:szCs w:val="16"/>
          <w:color w:val="auto"/>
        </w:rPr>
        <w:t>The Group expenses advertising expenses as incurred. Total advertising expenses incurred were $139 and $1,162 for the years ended December 31, 2012 and 2013, respectively, and have been included in sales and marketing expenses in the consolidated statements of operations.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620" w:right="120"/>
        <w:spacing w:after="0" w:line="277" w:lineRule="auto"/>
        <w:rPr>
          <w:sz w:val="20"/>
          <w:szCs w:val="20"/>
          <w:color w:val="auto"/>
        </w:rPr>
      </w:pPr>
      <w:r>
        <w:rPr>
          <w:rFonts w:ascii="Arial" w:cs="Arial" w:eastAsia="Arial" w:hAnsi="Arial"/>
          <w:sz w:val="18"/>
          <w:szCs w:val="18"/>
          <w:color w:val="auto"/>
        </w:rPr>
        <w:t>Comprehensive loss includes net loss and foreign currency translation adjustments. Comprehensive loss is reported in the consolidated statements of comprehensive loss.</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33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left="620" w:right="100"/>
        <w:spacing w:after="0" w:line="264" w:lineRule="auto"/>
        <w:rPr>
          <w:sz w:val="20"/>
          <w:szCs w:val="20"/>
          <w:color w:val="auto"/>
        </w:rPr>
      </w:pPr>
      <w:r>
        <w:rPr>
          <w:rFonts w:ascii="Arial" w:cs="Arial" w:eastAsia="Arial" w:hAnsi="Arial"/>
          <w:sz w:val="18"/>
          <w:szCs w:val="18"/>
          <w:color w:val="auto"/>
        </w:rPr>
        <w:t>Share-based payment transactions with employees are measured based on the grant date fair value of the equity instrument issued and recognized as compensation expense net of a forfeiture rate on a straight-line basis, over the requisite service period, with a corresponding impact reflected in additional paid-in capital.</w:t>
      </w:r>
    </w:p>
    <w:p>
      <w:pPr>
        <w:spacing w:after="0" w:line="73" w:lineRule="exact"/>
        <w:rPr>
          <w:sz w:val="20"/>
          <w:szCs w:val="20"/>
          <w:color w:val="auto"/>
        </w:rPr>
      </w:pPr>
    </w:p>
    <w:p>
      <w:pPr>
        <w:ind w:left="620" w:right="320"/>
        <w:spacing w:after="0" w:line="277" w:lineRule="auto"/>
        <w:rPr>
          <w:sz w:val="20"/>
          <w:szCs w:val="20"/>
          <w:color w:val="auto"/>
        </w:rPr>
      </w:pPr>
      <w:r>
        <w:rPr>
          <w:rFonts w:ascii="Arial" w:cs="Arial" w:eastAsia="Arial" w:hAnsi="Arial"/>
          <w:sz w:val="18"/>
          <w:szCs w:val="18"/>
          <w:color w:val="auto"/>
        </w:rPr>
        <w:t>Share awards issued to nonemployees are measured at fair value at the earlier of the commitment date or the date the services is completed and recognized over the period the service is provided.</w:t>
      </w:r>
    </w:p>
    <w:p>
      <w:pPr>
        <w:spacing w:after="0" w:line="62" w:lineRule="exact"/>
        <w:rPr>
          <w:sz w:val="20"/>
          <w:szCs w:val="20"/>
          <w:color w:val="auto"/>
        </w:rPr>
      </w:pPr>
    </w:p>
    <w:p>
      <w:pPr>
        <w:jc w:val="both"/>
        <w:ind w:left="620" w:right="380"/>
        <w:spacing w:after="0" w:line="264" w:lineRule="auto"/>
        <w:rPr>
          <w:sz w:val="20"/>
          <w:szCs w:val="20"/>
          <w:color w:val="auto"/>
        </w:rPr>
      </w:pPr>
      <w:r>
        <w:rPr>
          <w:rFonts w:ascii="Arial" w:cs="Arial" w:eastAsia="Arial" w:hAnsi="Arial"/>
          <w:sz w:val="18"/>
          <w:szCs w:val="18"/>
          <w:color w:val="auto"/>
        </w:rPr>
        <w:t>The estimate of forfeiture rate will be adjusted over the requisite service period to the extent that actual forfeiture rate differs, or is expected to differ, from such estimates. Changes in estimated forfeiture rate will be recognized through a cumulative catch-up adjustment in the period of change.</w:t>
      </w:r>
    </w:p>
    <w:p>
      <w:pPr>
        <w:spacing w:after="0" w:line="28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Loss per share</w:t>
      </w:r>
    </w:p>
    <w:p>
      <w:pPr>
        <w:spacing w:after="0" w:line="117" w:lineRule="exact"/>
        <w:rPr>
          <w:sz w:val="20"/>
          <w:szCs w:val="20"/>
          <w:color w:val="auto"/>
        </w:rPr>
      </w:pPr>
    </w:p>
    <w:p>
      <w:pPr>
        <w:ind w:left="620" w:right="260"/>
        <w:spacing w:after="0" w:line="277" w:lineRule="auto"/>
        <w:rPr>
          <w:sz w:val="20"/>
          <w:szCs w:val="20"/>
          <w:color w:val="auto"/>
        </w:rPr>
      </w:pPr>
      <w:r>
        <w:rPr>
          <w:rFonts w:ascii="Arial" w:cs="Arial" w:eastAsia="Arial" w:hAnsi="Arial"/>
          <w:sz w:val="18"/>
          <w:szCs w:val="18"/>
          <w:color w:val="auto"/>
        </w:rPr>
        <w:t>Basic loss per ordinary share is computed by dividing net loss attributable to ordinary shareholders by the weighted average number of ordinary shares outstanding during the period.</w:t>
      </w:r>
    </w:p>
    <w:p>
      <w:pPr>
        <w:spacing w:after="0" w:line="62" w:lineRule="exact"/>
        <w:rPr>
          <w:sz w:val="20"/>
          <w:szCs w:val="20"/>
          <w:color w:val="auto"/>
        </w:rPr>
      </w:pPr>
    </w:p>
    <w:p>
      <w:pPr>
        <w:ind w:left="620"/>
        <w:spacing w:after="0" w:line="257" w:lineRule="auto"/>
        <w:rPr>
          <w:sz w:val="20"/>
          <w:szCs w:val="20"/>
          <w:color w:val="auto"/>
        </w:rPr>
      </w:pPr>
      <w:r>
        <w:rPr>
          <w:rFonts w:ascii="Arial" w:cs="Arial" w:eastAsia="Arial" w:hAnsi="Arial"/>
          <w:sz w:val="18"/>
          <w:szCs w:val="18"/>
          <w:color w:val="auto"/>
        </w:rPr>
        <w:t>The Group’s convertible redeemable participating preferred shares are participating securities as they participate in undistributed earnings on an as-if-converted basis. Accordingly, the Group uses the two-class method whereby undistributed net income is allocated on a pro rata basis to the ordinary shares and preferred shares to the extent that each class may share in income for the period; whereas the undistributed net loss for the period is allocated to ordinary shares only because the convertible redeemable participating preferred shares are not contractually obligated to share the loss.</w:t>
      </w:r>
    </w:p>
    <w:p>
      <w:pPr>
        <w:spacing w:after="0" w:line="80" w:lineRule="exact"/>
        <w:rPr>
          <w:sz w:val="20"/>
          <w:szCs w:val="20"/>
          <w:color w:val="auto"/>
        </w:rPr>
      </w:pPr>
    </w:p>
    <w:p>
      <w:pPr>
        <w:ind w:left="620" w:right="100"/>
        <w:spacing w:after="0" w:line="279" w:lineRule="auto"/>
        <w:rPr>
          <w:sz w:val="20"/>
          <w:szCs w:val="20"/>
          <w:color w:val="auto"/>
        </w:rPr>
      </w:pPr>
      <w:r>
        <w:rPr>
          <w:rFonts w:ascii="Arial" w:cs="Arial" w:eastAsia="Arial" w:hAnsi="Arial"/>
          <w:sz w:val="17"/>
          <w:szCs w:val="17"/>
          <w:color w:val="auto"/>
        </w:rPr>
        <w:t>Diluted loss per ordinary share reflects the potential dilution that could occur if securities were exercised or converted into ordinary shares. The Group had convertible redeemable participating preferred shares, and stock options, which could potentially dilute basic loss per share in the future. To calculate the number of shares for diluted loss per ordinary share, the effect of the convertible redeemable participating preferred shares is computed using the as-if-converted method; the effect of the stock options is computed using the treasury stock method.</w:t>
      </w:r>
    </w:p>
    <w:p>
      <w:pPr>
        <w:spacing w:after="0" w:line="28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117" w:lineRule="exact"/>
        <w:rPr>
          <w:sz w:val="20"/>
          <w:szCs w:val="20"/>
          <w:color w:val="auto"/>
        </w:rPr>
      </w:pPr>
    </w:p>
    <w:p>
      <w:pPr>
        <w:ind w:left="620" w:right="160"/>
        <w:spacing w:after="0" w:line="273" w:lineRule="auto"/>
        <w:rPr>
          <w:sz w:val="20"/>
          <w:szCs w:val="20"/>
          <w:color w:val="auto"/>
        </w:rPr>
      </w:pPr>
      <w:r>
        <w:rPr>
          <w:rFonts w:ascii="Arial" w:cs="Arial" w:eastAsia="Arial" w:hAnsi="Arial"/>
          <w:sz w:val="17"/>
          <w:szCs w:val="17"/>
          <w:color w:val="auto"/>
        </w:rPr>
        <w:t>In February 2013, the FASB issued an authoritative pronouncement related to reporting of amounts reclassified out of accumulated other comprehensive income, to improve the transparency of reporting these reclassifications. Other comprehensive income includes gains and losses that are initially excluded from net income for an accounting period. Those gains and losses are later reclassified out of accumulated other comprehensive income into net income. The amendments in this Accounting Standards Updates (“ASU”) do not change the current requirements for reporting net income or other comprehensive income in financial statements. All of the information that this ASU requires already is required to be disclosed elsewhere in the financial statements under US GAAP.</w:t>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new amendments will require an organization to:</w:t>
      </w:r>
    </w:p>
    <w:p>
      <w:pPr>
        <w:spacing w:after="0" w:line="131" w:lineRule="exact"/>
        <w:rPr>
          <w:sz w:val="20"/>
          <w:szCs w:val="20"/>
          <w:color w:val="auto"/>
        </w:rPr>
      </w:pPr>
    </w:p>
    <w:p>
      <w:pPr>
        <w:ind w:left="1040" w:right="520" w:hanging="321"/>
        <w:spacing w:after="0" w:line="264" w:lineRule="auto"/>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Present (either on the face of the statement where net income is presented or in the notes) the effects on the line items of net income of significant amounts reclassified out of accumulated other comprehensive income - but only if the item reclassified is required under US GAAP to be reclassified to net income in its entirety in the same reporting period.</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6480" w:hanging="452"/>
        <w:spacing w:after="0" w:line="541" w:lineRule="auto"/>
        <w:tabs>
          <w:tab w:leader="none" w:pos="449"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 continued </w:t>
      </w:r>
      <w:r>
        <w:rPr>
          <w:rFonts w:ascii="Arial" w:cs="Arial" w:eastAsia="Arial" w:hAnsi="Arial"/>
          <w:sz w:val="16"/>
          <w:szCs w:val="16"/>
          <w:b w:val="1"/>
          <w:bCs w:val="1"/>
          <w:i w:val="1"/>
          <w:iCs w:val="1"/>
          <w:color w:val="auto"/>
        </w:rPr>
        <w:t xml:space="preserve">Recent accounting pronouncements adopted </w:t>
      </w:r>
      <w:r>
        <w:rPr>
          <w:rFonts w:ascii="Arial" w:cs="Arial" w:eastAsia="Arial" w:hAnsi="Arial"/>
          <w:sz w:val="16"/>
          <w:szCs w:val="16"/>
          <w:color w:val="auto"/>
        </w:rPr>
        <w:t>- continued</w:t>
      </w:r>
    </w:p>
    <w:p>
      <w:pPr>
        <w:spacing w:after="0" w:line="79" w:lineRule="exact"/>
        <w:rPr>
          <w:rFonts w:ascii="Arial" w:cs="Arial" w:eastAsia="Arial" w:hAnsi="Arial"/>
          <w:sz w:val="16"/>
          <w:szCs w:val="16"/>
          <w:b w:val="1"/>
          <w:bCs w:val="1"/>
          <w:color w:val="auto"/>
        </w:rPr>
      </w:pPr>
    </w:p>
    <w:p>
      <w:pPr>
        <w:ind w:left="1040" w:right="200" w:hanging="321"/>
        <w:spacing w:after="0" w:line="259" w:lineRule="auto"/>
        <w:tabs>
          <w:tab w:leader="none" w:pos="1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Cross-reference to other disclosures currently required under US GAAP for other reclassification items (that are not required under US GAAP) to be reclassified directly to net income in their entirety in the same reporting period. This would be the case when a portion of the amount reclassified out of accumulated other comprehensive income is initially transferred to a balance sheet account (e.g., inventory for pension-related amounts) instead of directly to income or expense</w:t>
      </w:r>
    </w:p>
    <w:p>
      <w:pPr>
        <w:spacing w:after="0" w:line="79" w:lineRule="exact"/>
        <w:rPr>
          <w:sz w:val="20"/>
          <w:szCs w:val="20"/>
          <w:color w:val="auto"/>
        </w:rPr>
      </w:pPr>
    </w:p>
    <w:p>
      <w:pPr>
        <w:ind w:left="620" w:right="140"/>
        <w:spacing w:after="0" w:line="259" w:lineRule="auto"/>
        <w:rPr>
          <w:sz w:val="20"/>
          <w:szCs w:val="20"/>
          <w:color w:val="auto"/>
        </w:rPr>
      </w:pPr>
      <w:r>
        <w:rPr>
          <w:rFonts w:ascii="Arial" w:cs="Arial" w:eastAsia="Arial" w:hAnsi="Arial"/>
          <w:sz w:val="18"/>
          <w:szCs w:val="18"/>
          <w:color w:val="auto"/>
        </w:rPr>
        <w:t>The amendments apply to all public and private companies that report items of other comprehensive income. Public companies are required to comply with these amendments for all reporting periods (interim and annual). The amendments are effective for reporting periods beginning after December 15, 2012, for public companies. Early adoption is permitted. The adoption of this guidance did not have a significant effect on the Group’s consolidated financial statements.</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left="620"/>
        <w:spacing w:after="0" w:line="287" w:lineRule="auto"/>
        <w:rPr>
          <w:sz w:val="20"/>
          <w:szCs w:val="20"/>
          <w:color w:val="auto"/>
        </w:rPr>
      </w:pPr>
      <w:r>
        <w:rPr>
          <w:rFonts w:ascii="Arial" w:cs="Arial" w:eastAsia="Arial" w:hAnsi="Arial"/>
          <w:sz w:val="16"/>
          <w:szCs w:val="16"/>
          <w:color w:val="auto"/>
        </w:rPr>
        <w:t>In February 2013, the FASB issued an authoritative pronouncement related to obligations resulting from joint and several liability arrangements for which the total amount of the obligation is fixed at the reporting date. The pronouncement provides guidance for the recognition, measurement, and disclosure of obligations resulting from joint and several liability arrangements for which the total amount of the obligation within the scope of this pronouncement is fixed at the reporting date, except for obligations addressed within existing guidance in US GAAP. The guidance requires an entity to measure those obligations as the sum of the amount the reporting entity agreed to pay on the basis of its arrangement among its co-obligors and any additional amount the reporting entity expects to pay on behalf of its co-obligors. The guidance in this pronouncement also requires an entity to disclose the nature and amount of the obligation as well as other information about those obligations. The amendments are effective for fiscal years, and interim periods within those years, beginning after December 15, 2013. The amendments in this ASU should be applied retrospectively to all prior periods presented for those obligations resulting from joint and several liability arrangements within the scope that exist at the beginning of an entity’s fiscal year of adoption. An entity may elect to use hindsight for the comparative periods (if it changed its accounting as a result of adopting the amendments in this pronouncement) and should disclose that fact. Early adoption is permitted. The Group does not expect the adoption of this guidance will have a significant effect on the Group’s consolidated financial statements.</w:t>
      </w:r>
    </w:p>
    <w:p>
      <w:pPr>
        <w:spacing w:after="0" w:line="61" w:lineRule="exact"/>
        <w:rPr>
          <w:sz w:val="20"/>
          <w:szCs w:val="20"/>
          <w:color w:val="auto"/>
        </w:rPr>
      </w:pPr>
    </w:p>
    <w:p>
      <w:pPr>
        <w:ind w:left="620"/>
        <w:spacing w:after="0" w:line="264" w:lineRule="auto"/>
        <w:rPr>
          <w:sz w:val="20"/>
          <w:szCs w:val="20"/>
          <w:color w:val="auto"/>
        </w:rPr>
      </w:pPr>
      <w:r>
        <w:rPr>
          <w:rFonts w:ascii="Arial" w:cs="Arial" w:eastAsia="Arial" w:hAnsi="Arial"/>
          <w:sz w:val="18"/>
          <w:szCs w:val="18"/>
          <w:color w:val="auto"/>
        </w:rPr>
        <w:t>In July 2013, the FASB issued a pronouncement which provides guidance on financial statement presentation of an unrecognized tax benefits when a net operating loss carry forward, a similar tax loss, or a tax credit carry forward exists. The FASB’s objective in issuing this ASU is to eliminate diversity in practice resulting from a lack of guidance on this topic in current U.S. GAAP.</w:t>
      </w:r>
    </w:p>
    <w:p>
      <w:pPr>
        <w:spacing w:after="0" w:line="73" w:lineRule="exact"/>
        <w:rPr>
          <w:sz w:val="20"/>
          <w:szCs w:val="20"/>
          <w:color w:val="auto"/>
        </w:rPr>
      </w:pPr>
    </w:p>
    <w:p>
      <w:pPr>
        <w:ind w:left="620" w:right="140"/>
        <w:spacing w:after="0" w:line="255" w:lineRule="auto"/>
        <w:rPr>
          <w:sz w:val="20"/>
          <w:szCs w:val="20"/>
          <w:color w:val="auto"/>
        </w:rPr>
      </w:pPr>
      <w:r>
        <w:rPr>
          <w:rFonts w:ascii="Arial" w:cs="Arial" w:eastAsia="Arial" w:hAnsi="Arial"/>
          <w:sz w:val="18"/>
          <w:szCs w:val="18"/>
          <w:color w:val="auto"/>
        </w:rPr>
        <w:t>The amendments in this ASU state that an unrecognized tax benefit, or a portion of an unrecognized tax benefit, should be presented in the financial statements as a reduction to a deferred tax asset for a net operating loss carry forward, a similar tax loss, or a tax credit carry forward, except as follows. To the extent a net operating loss carry forward, a similar tax loss, or a tax credit carry 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6020" w:hanging="452"/>
        <w:spacing w:after="0" w:line="495" w:lineRule="auto"/>
        <w:tabs>
          <w:tab w:leader="none" w:pos="449"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 continued </w:t>
      </w:r>
      <w:r>
        <w:rPr>
          <w:rFonts w:ascii="Arial" w:cs="Arial" w:eastAsia="Arial" w:hAnsi="Arial"/>
          <w:sz w:val="17"/>
          <w:szCs w:val="17"/>
          <w:b w:val="1"/>
          <w:bCs w:val="1"/>
          <w:i w:val="1"/>
          <w:iCs w:val="1"/>
          <w:color w:val="auto"/>
        </w:rPr>
        <w:t xml:space="preserve">Recent accounting pronouncements not yet adopted </w:t>
      </w:r>
      <w:r>
        <w:rPr>
          <w:rFonts w:ascii="Arial" w:cs="Arial" w:eastAsia="Arial" w:hAnsi="Arial"/>
          <w:sz w:val="17"/>
          <w:szCs w:val="17"/>
          <w:color w:val="auto"/>
        </w:rPr>
        <w:t>- continued</w:t>
      </w:r>
    </w:p>
    <w:p>
      <w:pPr>
        <w:spacing w:after="0" w:line="103" w:lineRule="exact"/>
        <w:rPr>
          <w:sz w:val="20"/>
          <w:szCs w:val="20"/>
          <w:color w:val="auto"/>
        </w:rPr>
      </w:pPr>
    </w:p>
    <w:p>
      <w:pPr>
        <w:ind w:left="620"/>
        <w:spacing w:after="0" w:line="257" w:lineRule="auto"/>
        <w:rPr>
          <w:sz w:val="20"/>
          <w:szCs w:val="20"/>
          <w:color w:val="auto"/>
        </w:rPr>
      </w:pPr>
      <w:r>
        <w:rPr>
          <w:rFonts w:ascii="Arial" w:cs="Arial" w:eastAsia="Arial" w:hAnsi="Arial"/>
          <w:sz w:val="18"/>
          <w:szCs w:val="18"/>
          <w:color w:val="auto"/>
        </w:rPr>
        <w:t>This ASU applies to all entities that have unrecognized tax benefits when a net operating loss carry forward, a similar tax loss, or a tax credit carry forward exists at the reporting date. The amendments in this ASU are effective for fiscal years, and interim periods within those years, beginning after December 15, 2013. Early adoption is permitted. The amendments should be applied prospectively to all unrecognized tax benefits that exist at the effective date. Retrospective application is permitted. The Group does not expect the adoption of this guidance will have a significant effect on the Group’s consolidated financial statements.</w:t>
      </w:r>
    </w:p>
    <w:p>
      <w:pPr>
        <w:spacing w:after="0" w:line="333" w:lineRule="exact"/>
        <w:rPr>
          <w:sz w:val="20"/>
          <w:szCs w:val="20"/>
          <w:color w:val="auto"/>
        </w:rPr>
      </w:pPr>
    </w:p>
    <w:p>
      <w:pPr>
        <w:ind w:left="620" w:hanging="441"/>
        <w:spacing w:after="0"/>
        <w:tabs>
          <w:tab w:leader="none" w:pos="6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net consisted of the following:</w:t>
      </w:r>
    </w:p>
    <w:p>
      <w:pPr>
        <w:spacing w:after="0" w:line="248" w:lineRule="exact"/>
        <w:rPr>
          <w:sz w:val="20"/>
          <w:szCs w:val="20"/>
          <w:color w:val="auto"/>
        </w:rPr>
      </w:pPr>
    </w:p>
    <w:tbl>
      <w:tblPr>
        <w:tblLayout w:type="fixed"/>
        <w:tblInd w:w="150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280"/>
              <w:spacing w:after="0"/>
              <w:rPr>
                <w:sz w:val="20"/>
                <w:szCs w:val="20"/>
                <w:color w:val="auto"/>
              </w:rPr>
            </w:pPr>
            <w:r>
              <w:rPr>
                <w:rFonts w:ascii="Arial" w:cs="Arial" w:eastAsia="Arial" w:hAnsi="Arial"/>
                <w:sz w:val="14"/>
                <w:szCs w:val="14"/>
                <w:color w:val="auto"/>
              </w:rPr>
              <w:t>As of December 31,</w:t>
            </w:r>
          </w:p>
        </w:tc>
      </w:tr>
      <w:tr>
        <w:trPr>
          <w:trHeight w:val="142"/>
        </w:trPr>
        <w:tc>
          <w:tcPr>
            <w:tcW w:w="6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2012</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80" w:type="dxa"/>
            <w:vAlign w:val="bottom"/>
            <w:shd w:val="clear" w:color="auto" w:fill="CCEEFF"/>
          </w:tcPr>
          <w:p>
            <w:pPr>
              <w:spacing w:after="0"/>
              <w:rPr>
                <w:sz w:val="18"/>
                <w:szCs w:val="18"/>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1,935</w:t>
            </w:r>
          </w:p>
        </w:tc>
      </w:tr>
      <w:tr>
        <w:trPr>
          <w:trHeight w:val="20"/>
        </w:trPr>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620" w:right="5600" w:hanging="441"/>
        <w:spacing w:after="0" w:line="488" w:lineRule="auto"/>
        <w:tabs>
          <w:tab w:leader="none" w:pos="610"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Prepaid expenses and other current assets consisted of the following:</w:t>
      </w:r>
    </w:p>
    <w:p>
      <w:pPr>
        <w:spacing w:after="0" w:line="35" w:lineRule="exact"/>
        <w:rPr>
          <w:sz w:val="20"/>
          <w:szCs w:val="20"/>
          <w:color w:val="auto"/>
        </w:rPr>
      </w:pPr>
    </w:p>
    <w:tbl>
      <w:tblPr>
        <w:tblLayout w:type="fixed"/>
        <w:tblInd w:w="150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280"/>
              <w:spacing w:after="0"/>
              <w:rPr>
                <w:sz w:val="20"/>
                <w:szCs w:val="20"/>
                <w:color w:val="auto"/>
              </w:rPr>
            </w:pPr>
            <w:r>
              <w:rPr>
                <w:rFonts w:ascii="Arial" w:cs="Arial" w:eastAsia="Arial" w:hAnsi="Arial"/>
                <w:sz w:val="14"/>
                <w:szCs w:val="14"/>
                <w:color w:val="auto"/>
              </w:rPr>
              <w:t>As of December 31,</w:t>
            </w:r>
          </w:p>
        </w:tc>
      </w:tr>
      <w:tr>
        <w:trPr>
          <w:trHeight w:val="142"/>
        </w:trPr>
        <w:tc>
          <w:tcPr>
            <w:tcW w:w="6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Rental deposit </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224</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VAT input for purchasing property and equipment</w:t>
            </w:r>
          </w:p>
        </w:tc>
        <w:tc>
          <w:tcPr>
            <w:tcW w:w="100" w:type="dxa"/>
            <w:vAlign w:val="bottom"/>
          </w:tcPr>
          <w:p>
            <w:pPr>
              <w:spacing w:after="0"/>
              <w:rPr>
                <w:sz w:val="18"/>
                <w:szCs w:val="18"/>
                <w:color w:val="auto"/>
              </w:rPr>
            </w:pPr>
          </w:p>
        </w:tc>
        <w:tc>
          <w:tcPr>
            <w:tcW w:w="12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rental expenses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Advance to supplier</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platform commission cost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Other deposit</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r>
      <w:tr>
        <w:trPr>
          <w:trHeight w:val="223"/>
        </w:trPr>
        <w:tc>
          <w:tcPr>
            <w:tcW w:w="6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335</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40" w:hanging="429"/>
        <w:spacing w:after="0"/>
        <w:tabs>
          <w:tab w:leader="none" w:pos="10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Rental deposit mainly presents amounts paid as deposit for the Group’s offices in Beijing and Chengdu.</w:t>
      </w:r>
    </w:p>
    <w:p>
      <w:pPr>
        <w:spacing w:after="0" w:line="369" w:lineRule="exact"/>
        <w:rPr>
          <w:rFonts w:ascii="Arial" w:cs="Arial" w:eastAsia="Arial" w:hAnsi="Arial"/>
          <w:sz w:val="18"/>
          <w:szCs w:val="18"/>
          <w:color w:val="auto"/>
        </w:rPr>
      </w:pPr>
    </w:p>
    <w:p>
      <w:pPr>
        <w:ind w:left="620" w:hanging="441"/>
        <w:spacing w:after="0"/>
        <w:tabs>
          <w:tab w:leader="none" w:pos="6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COST METHOD INVESTMENT</w:t>
      </w:r>
    </w:p>
    <w:p>
      <w:pPr>
        <w:spacing w:after="0" w:line="121" w:lineRule="exact"/>
        <w:rPr>
          <w:rFonts w:ascii="Arial" w:cs="Arial" w:eastAsia="Arial" w:hAnsi="Arial"/>
          <w:sz w:val="18"/>
          <w:szCs w:val="18"/>
          <w:b w:val="1"/>
          <w:bCs w:val="1"/>
          <w:color w:val="auto"/>
        </w:rPr>
      </w:pPr>
    </w:p>
    <w:p>
      <w:pPr>
        <w:ind w:left="62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April 27, 2013, the Group acquired 12% equity interest of Smartisan Technology Co., Ltd. for long-term investment at total cash consideration of $951 and accounted for the investment using cost method as the Company was unable to exercise significant influence on the investee.</w:t>
      </w: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80"/>
          </w:cols>
          <w:pgMar w:left="240" w:top="460"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315" w:lineRule="exact"/>
        <w:rPr>
          <w:sz w:val="20"/>
          <w:szCs w:val="20"/>
          <w:color w:val="auto"/>
        </w:rPr>
      </w:pPr>
    </w:p>
    <w:p>
      <w:pPr>
        <w:ind w:left="620" w:hanging="441"/>
        <w:spacing w:after="0"/>
        <w:tabs>
          <w:tab w:leader="none" w:pos="6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w:t>
      </w:r>
    </w:p>
    <w:p>
      <w:pPr>
        <w:spacing w:after="0" w:line="248" w:lineRule="exact"/>
        <w:rPr>
          <w:sz w:val="20"/>
          <w:szCs w:val="20"/>
          <w:color w:val="auto"/>
        </w:rPr>
      </w:pPr>
    </w:p>
    <w:tbl>
      <w:tblPr>
        <w:tblLayout w:type="fixed"/>
        <w:tblInd w:w="1500" w:type="dxa"/>
        <w:tblCellMar>
          <w:top w:w="0" w:type="dxa"/>
          <w:left w:w="0" w:type="dxa"/>
          <w:bottom w:w="0" w:type="dxa"/>
          <w:right w:w="0" w:type="dxa"/>
        </w:tblCellMar>
      </w:tblPr>
      <w:tr>
        <w:trPr>
          <w:trHeight w:val="167"/>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color w:val="auto"/>
              </w:rPr>
              <w:t>As of December 31,</w:t>
            </w:r>
          </w:p>
        </w:tc>
      </w:tr>
      <w:tr>
        <w:trPr>
          <w:trHeight w:val="142"/>
        </w:trPr>
        <w:tc>
          <w:tcPr>
            <w:tcW w:w="6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2012</w:t>
            </w:r>
          </w:p>
        </w:tc>
        <w:tc>
          <w:tcPr>
            <w:tcW w:w="8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822</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Leasehold improvement</w:t>
            </w:r>
          </w:p>
        </w:tc>
        <w:tc>
          <w:tcPr>
            <w:tcW w:w="100" w:type="dxa"/>
            <w:vAlign w:val="bottom"/>
          </w:tcPr>
          <w:p>
            <w:pPr>
              <w:spacing w:after="0"/>
              <w:rPr>
                <w:sz w:val="18"/>
                <w:szCs w:val="18"/>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w:t>
            </w: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Exchange difference</w:t>
            </w: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w:t>
            </w: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Depreciation expenses charged to the consolidated statements of operations for the years ended December 31, 2012 and 2013 were $147 and $842, respectively.</w:t>
      </w:r>
    </w:p>
    <w:p>
      <w:pPr>
        <w:spacing w:after="0" w:line="315" w:lineRule="exact"/>
        <w:rPr>
          <w:sz w:val="20"/>
          <w:szCs w:val="20"/>
          <w:color w:val="auto"/>
        </w:rPr>
      </w:pPr>
    </w:p>
    <w:p>
      <w:pPr>
        <w:ind w:left="620" w:right="5340" w:hanging="441"/>
        <w:spacing w:after="0" w:line="488" w:lineRule="auto"/>
        <w:tabs>
          <w:tab w:leader="none" w:pos="610"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consisted of the following:</w:t>
      </w:r>
    </w:p>
    <w:p>
      <w:pPr>
        <w:spacing w:after="0" w:line="35" w:lineRule="exact"/>
        <w:rPr>
          <w:sz w:val="20"/>
          <w:szCs w:val="20"/>
          <w:color w:val="auto"/>
        </w:rPr>
      </w:pPr>
    </w:p>
    <w:tbl>
      <w:tblPr>
        <w:tblLayout w:type="fixed"/>
        <w:tblInd w:w="150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280"/>
              <w:spacing w:after="0"/>
              <w:rPr>
                <w:sz w:val="20"/>
                <w:szCs w:val="20"/>
                <w:color w:val="auto"/>
              </w:rPr>
            </w:pPr>
            <w:r>
              <w:rPr>
                <w:rFonts w:ascii="Arial" w:cs="Arial" w:eastAsia="Arial" w:hAnsi="Arial"/>
                <w:sz w:val="14"/>
                <w:szCs w:val="14"/>
                <w:color w:val="auto"/>
              </w:rPr>
              <w:t>As of December 31,</w:t>
            </w:r>
          </w:p>
        </w:tc>
      </w:tr>
      <w:tr>
        <w:trPr>
          <w:trHeight w:val="142"/>
        </w:trPr>
        <w:tc>
          <w:tcPr>
            <w:tcW w:w="6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welfare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73"/>
              </w:rPr>
              <w:t>43</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Deferred government subsidy</w:t>
            </w:r>
          </w:p>
        </w:tc>
        <w:tc>
          <w:tcPr>
            <w:tcW w:w="100" w:type="dxa"/>
            <w:vAlign w:val="bottom"/>
          </w:tcPr>
          <w:p>
            <w:pPr>
              <w:spacing w:after="0"/>
              <w:rPr>
                <w:sz w:val="18"/>
                <w:szCs w:val="18"/>
                <w:color w:val="auto"/>
              </w:rPr>
            </w:pPr>
          </w:p>
        </w:tc>
        <w:tc>
          <w:tcPr>
            <w:tcW w:w="12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advertisement expense</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11</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Other tax payables</w:t>
            </w:r>
          </w:p>
        </w:tc>
        <w:tc>
          <w:tcPr>
            <w:tcW w:w="10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w w:val="79"/>
              </w:rPr>
              <w:t>12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77</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143</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620" w:hanging="441"/>
        <w:spacing w:after="0"/>
        <w:tabs>
          <w:tab w:leader="none" w:pos="62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Measured on recurring basis</w:t>
      </w:r>
    </w:p>
    <w:p>
      <w:pPr>
        <w:spacing w:after="0" w:line="117" w:lineRule="exact"/>
        <w:rPr>
          <w:rFonts w:ascii="Arial" w:cs="Arial" w:eastAsia="Arial" w:hAnsi="Arial"/>
          <w:sz w:val="18"/>
          <w:szCs w:val="18"/>
          <w:b w:val="1"/>
          <w:bCs w:val="1"/>
          <w:color w:val="auto"/>
        </w:rPr>
      </w:pPr>
    </w:p>
    <w:p>
      <w:pPr>
        <w:ind w:left="6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measured its financial assets and liabilities including the cash and cash equivalents at fair value on a recurring basis as of December 31, 2012 and 2013. Cash and cash equivalents are classified within Level 1 of the fair value hierarchy because they are valued based on the quoted market price in an active market.</w:t>
      </w:r>
    </w:p>
    <w:p>
      <w:pPr>
        <w:spacing w:after="0" w:line="73"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The Group did not have Level 2 and Level 3 investments as of December 31, 2012 and 2013, respectively.</w:t>
      </w:r>
    </w:p>
    <w:p>
      <w:pPr>
        <w:spacing w:after="0" w:line="369" w:lineRule="exact"/>
        <w:rPr>
          <w:rFonts w:ascii="Arial" w:cs="Arial" w:eastAsia="Arial" w:hAnsi="Arial"/>
          <w:sz w:val="18"/>
          <w:szCs w:val="18"/>
          <w:b w:val="1"/>
          <w:bCs w:val="1"/>
          <w:color w:val="auto"/>
        </w:rPr>
      </w:pPr>
    </w:p>
    <w:p>
      <w:pPr>
        <w:ind w:left="620" w:hanging="441"/>
        <w:spacing w:after="0"/>
        <w:tabs>
          <w:tab w:leader="none" w:pos="62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7"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British Virgin Islands (“BVI”)</w:t>
      </w:r>
    </w:p>
    <w:p>
      <w:pPr>
        <w:spacing w:after="0" w:line="121" w:lineRule="exact"/>
        <w:rPr>
          <w:rFonts w:ascii="Arial" w:cs="Arial" w:eastAsia="Arial" w:hAnsi="Arial"/>
          <w:sz w:val="18"/>
          <w:szCs w:val="18"/>
          <w:b w:val="1"/>
          <w:bCs w:val="1"/>
          <w:color w:val="auto"/>
        </w:rPr>
      </w:pPr>
    </w:p>
    <w:p>
      <w:pPr>
        <w:ind w:left="62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a tax-exempted company incorporated in the BVI. The Company and its subsidiaries that were incorporated in the BVI are not subject to taxation in their country of incorporation. The Group has certain business activities conducted in the PRC which is only subject to PRC income taxes.</w:t>
      </w:r>
    </w:p>
    <w:p>
      <w:pPr>
        <w:spacing w:after="0" w:line="2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 continued</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Momo HK was established in Hong Kong and is subject to Hong Kong Profits Tax at 16.5% on its activities conducted in Hong Kong.</w:t>
      </w:r>
    </w:p>
    <w:p>
      <w:pPr>
        <w:spacing w:after="0" w:line="32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Entities incorporated in the PRC are subject to the Enterprise Income Tax Law (“EIT Law”) at a rate of 25%.</w:t>
      </w:r>
    </w:p>
    <w:p>
      <w:pPr>
        <w:spacing w:after="0" w:line="117" w:lineRule="exact"/>
        <w:rPr>
          <w:sz w:val="20"/>
          <w:szCs w:val="20"/>
          <w:color w:val="auto"/>
        </w:rPr>
      </w:pPr>
    </w:p>
    <w:p>
      <w:pPr>
        <w:ind w:left="620" w:right="20"/>
        <w:spacing w:after="0" w:line="255" w:lineRule="auto"/>
        <w:rPr>
          <w:sz w:val="20"/>
          <w:szCs w:val="20"/>
          <w:color w:val="auto"/>
        </w:rPr>
      </w:pPr>
      <w:r>
        <w:rPr>
          <w:rFonts w:ascii="Arial" w:cs="Arial" w:eastAsia="Arial" w:hAnsi="Arial"/>
          <w:sz w:val="18"/>
          <w:szCs w:val="18"/>
          <w:color w:val="auto"/>
        </w:rPr>
        <w:t>Under the EIT Law and its implementation rules which became effective on January 1, 2008, dividends generated after January 1, 2008 and payable by foreign-invested enterprise in PRC to its foreign investors who are non-resident enterprises are subject to a 10% withholding tax, unless any such foreign investor’s jurisdiction of incorporation has a tax treaty with PRC that provides for a different withholding arrangement. Under the taxation arrangement between the PRC and Hong Kong, a qualified Hong Kong tax resident which is the “beneficial owner” and directly holds 25% or more of the equity interest in a PRC-resident enterprise is entitled to a reduced withholding tax rate of 5%. BVI, where the Company is incorporated, does not have a tax treaty with PRC.</w:t>
      </w:r>
    </w:p>
    <w:p>
      <w:pPr>
        <w:spacing w:after="0" w:line="85" w:lineRule="exact"/>
        <w:rPr>
          <w:sz w:val="20"/>
          <w:szCs w:val="20"/>
          <w:color w:val="auto"/>
        </w:rPr>
      </w:pPr>
    </w:p>
    <w:p>
      <w:pPr>
        <w:jc w:val="both"/>
        <w:ind w:left="620" w:right="160"/>
        <w:spacing w:after="0" w:line="264" w:lineRule="auto"/>
        <w:rPr>
          <w:sz w:val="20"/>
          <w:szCs w:val="20"/>
          <w:color w:val="auto"/>
        </w:rPr>
      </w:pPr>
      <w:r>
        <w:rPr>
          <w:rFonts w:ascii="Arial" w:cs="Arial" w:eastAsia="Arial" w:hAnsi="Arial"/>
          <w:sz w:val="18"/>
          <w:szCs w:val="18"/>
          <w:color w:val="auto"/>
        </w:rPr>
        <w:t>Since January 1, 2011, the relevant tax authorities of the Group’s subsidiaries have not conducted a tax examination on the Group’s PRC entities. In accordance with relevant PRC tax administration laws, tax years from 2012 to 2013 of the Group’s PRC subsidiary and VIE, remain subject to tax audits as of December 31, 2013, at the tax authority’s discretion.</w:t>
      </w:r>
    </w:p>
    <w:p>
      <w:pPr>
        <w:spacing w:after="0" w:line="73" w:lineRule="exact"/>
        <w:rPr>
          <w:sz w:val="20"/>
          <w:szCs w:val="20"/>
          <w:color w:val="auto"/>
        </w:rPr>
      </w:pPr>
    </w:p>
    <w:p>
      <w:pPr>
        <w:ind w:left="620"/>
        <w:spacing w:after="0" w:line="270" w:lineRule="auto"/>
        <w:rPr>
          <w:sz w:val="20"/>
          <w:szCs w:val="20"/>
          <w:color w:val="auto"/>
        </w:rPr>
      </w:pPr>
      <w:r>
        <w:rPr>
          <w:rFonts w:ascii="Arial" w:cs="Arial" w:eastAsia="Arial" w:hAnsi="Arial"/>
          <w:sz w:val="17"/>
          <w:szCs w:val="17"/>
          <w:color w:val="auto"/>
        </w:rPr>
        <w:t>Uncertainties exist with respect to how the current income tax law in the PRC applies to the Group’s overall operations, and more specifically, with regard to tax residency status. The EIT Law includes a provision specifying that legal entities organized outside of the PRC will be considered residents for Chinese income tax purposes if the place of effective management or control is within the PRC. The implementation rules to the EIT Law provide that non-resident legal entities will be considered China residents if substantial and overall management and control over the manufacturing and business operations, personnel, accounting, properties, etc., occurs within the PRC. Despite the present uncertainties resulting from the limited PRC tax guidance on the issue, the Group does not believe that the legal entities organized outside of the PRC within the Group should be treated as residents for EIT law purposes. If the PRC tax authorities subsequently determine that the Company and its subsidiaries registered outside the PRC should be deemed resident enterprises, the Company and its subsidiaries registered outside the PRC will be subject to the PRC income taxes, at a rate of 25%.</w:t>
      </w: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8480" w:hanging="452"/>
        <w:spacing w:after="0" w:line="454" w:lineRule="auto"/>
        <w:tabs>
          <w:tab w:leader="none" w:pos="449"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 continued PRC </w:t>
      </w:r>
      <w:r>
        <w:rPr>
          <w:rFonts w:ascii="Arial" w:cs="Arial" w:eastAsia="Arial" w:hAnsi="Arial"/>
          <w:sz w:val="18"/>
          <w:szCs w:val="18"/>
          <w:color w:val="auto"/>
        </w:rPr>
        <w:t>- continued</w:t>
      </w:r>
    </w:p>
    <w:p>
      <w:pPr>
        <w:spacing w:after="0" w:line="126" w:lineRule="exact"/>
        <w:rPr>
          <w:sz w:val="20"/>
          <w:szCs w:val="20"/>
          <w:color w:val="auto"/>
        </w:rPr>
      </w:pPr>
    </w:p>
    <w:p>
      <w:pPr>
        <w:ind w:left="620" w:right="160"/>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Significant components of the Group’s deferred tax assets and liabilities are as follows:</w:t>
      </w:r>
    </w:p>
    <w:p>
      <w:pPr>
        <w:spacing w:after="0" w:line="204" w:lineRule="exact"/>
        <w:rPr>
          <w:sz w:val="20"/>
          <w:szCs w:val="20"/>
          <w:color w:val="auto"/>
        </w:rPr>
      </w:pPr>
    </w:p>
    <w:tbl>
      <w:tblPr>
        <w:tblLayout w:type="fixed"/>
        <w:tblInd w:w="150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color w:val="auto"/>
              </w:rPr>
              <w:t>As of December 31,</w:t>
            </w:r>
          </w:p>
        </w:tc>
      </w:tr>
      <w:tr>
        <w:trPr>
          <w:trHeight w:val="142"/>
        </w:trPr>
        <w:tc>
          <w:tcPr>
            <w:tcW w:w="65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7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deferred tax assets:</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40" w:type="dxa"/>
            <w:vAlign w:val="bottom"/>
          </w:tcPr>
          <w:p>
            <w:pPr>
              <w:ind w:left="380"/>
              <w:spacing w:after="0"/>
              <w:rPr>
                <w:sz w:val="20"/>
                <w:szCs w:val="20"/>
                <w:color w:val="auto"/>
              </w:rPr>
            </w:pPr>
            <w:r>
              <w:rPr>
                <w:rFonts w:ascii="Arial" w:cs="Arial" w:eastAsia="Arial" w:hAnsi="Arial"/>
                <w:sz w:val="18"/>
                <w:szCs w:val="18"/>
                <w:color w:val="auto"/>
              </w:rPr>
              <w:t>Advertising expense</w:t>
            </w:r>
          </w:p>
        </w:tc>
        <w:tc>
          <w:tcPr>
            <w:tcW w:w="1200" w:type="dxa"/>
            <w:vAlign w:val="bottom"/>
            <w:gridSpan w:val="2"/>
          </w:tcPr>
          <w:p>
            <w:pPr>
              <w:jc w:val="right"/>
              <w:ind w:right="780"/>
              <w:spacing w:after="0"/>
              <w:rPr>
                <w:sz w:val="20"/>
                <w:szCs w:val="20"/>
                <w:color w:val="auto"/>
              </w:rPr>
            </w:pPr>
            <w:r>
              <w:rPr>
                <w:rFonts w:ascii="Arial" w:cs="Arial" w:eastAsia="Arial" w:hAnsi="Arial"/>
                <w:sz w:val="18"/>
                <w:szCs w:val="18"/>
                <w:color w:val="auto"/>
                <w:w w:val="99"/>
              </w:rPr>
              <w:t>$  43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  145</w:t>
            </w:r>
          </w:p>
        </w:tc>
      </w:tr>
      <w:tr>
        <w:trPr>
          <w:trHeight w:val="216"/>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payroll</w:t>
            </w:r>
          </w:p>
        </w:tc>
        <w:tc>
          <w:tcPr>
            <w:tcW w:w="12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654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valuation allowance</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r>
      <w:tr>
        <w:trPr>
          <w:trHeight w:val="223"/>
        </w:trPr>
        <w:tc>
          <w:tcPr>
            <w:tcW w:w="6540" w:type="dxa"/>
            <w:vAlign w:val="bottom"/>
          </w:tcPr>
          <w:p>
            <w:pPr>
              <w:ind w:left="20"/>
              <w:spacing w:after="0"/>
              <w:rPr>
                <w:sz w:val="20"/>
                <w:szCs w:val="20"/>
                <w:color w:val="auto"/>
              </w:rPr>
            </w:pPr>
            <w:r>
              <w:rPr>
                <w:rFonts w:ascii="Arial" w:cs="Arial" w:eastAsia="Arial" w:hAnsi="Arial"/>
                <w:sz w:val="18"/>
                <w:szCs w:val="18"/>
                <w:color w:val="auto"/>
              </w:rPr>
              <w:t>Current deferred tax assets, net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deferred tax assets:</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80"/>
              <w:spacing w:after="0"/>
              <w:rPr>
                <w:sz w:val="20"/>
                <w:szCs w:val="20"/>
                <w:color w:val="auto"/>
              </w:rPr>
            </w:pPr>
            <w:r>
              <w:rPr>
                <w:rFonts w:ascii="Arial" w:cs="Arial" w:eastAsia="Arial" w:hAnsi="Arial"/>
                <w:sz w:val="18"/>
                <w:szCs w:val="18"/>
                <w:color w:val="auto"/>
              </w:rPr>
              <w:t>Net operating tax losses carry-forward</w:t>
            </w:r>
          </w:p>
        </w:tc>
        <w:tc>
          <w:tcPr>
            <w:tcW w:w="1200" w:type="dxa"/>
            <w:vAlign w:val="bottom"/>
            <w:gridSpan w:val="2"/>
          </w:tcPr>
          <w:p>
            <w:pPr>
              <w:jc w:val="right"/>
              <w:ind w:right="780"/>
              <w:spacing w:after="0"/>
              <w:rPr>
                <w:sz w:val="20"/>
                <w:szCs w:val="20"/>
                <w:color w:val="auto"/>
              </w:rPr>
            </w:pPr>
            <w:r>
              <w:rPr>
                <w:rFonts w:ascii="Arial" w:cs="Arial" w:eastAsia="Arial" w:hAnsi="Arial"/>
                <w:sz w:val="18"/>
                <w:szCs w:val="18"/>
                <w:color w:val="auto"/>
              </w:rPr>
              <w:t>878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2,905</w:t>
            </w:r>
          </w:p>
        </w:tc>
      </w:tr>
      <w:tr>
        <w:trPr>
          <w:trHeight w:val="216"/>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valuation allowance</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(2,905)</w:t>
            </w:r>
          </w:p>
        </w:tc>
      </w:tr>
      <w:tr>
        <w:trPr>
          <w:trHeight w:val="223"/>
        </w:trPr>
        <w:tc>
          <w:tcPr>
            <w:tcW w:w="6540" w:type="dxa"/>
            <w:vAlign w:val="bottom"/>
          </w:tcPr>
          <w:p>
            <w:pPr>
              <w:ind w:left="20"/>
              <w:spacing w:after="0"/>
              <w:rPr>
                <w:sz w:val="20"/>
                <w:szCs w:val="20"/>
                <w:color w:val="auto"/>
              </w:rPr>
            </w:pPr>
            <w:r>
              <w:rPr>
                <w:rFonts w:ascii="Arial" w:cs="Arial" w:eastAsia="Arial" w:hAnsi="Arial"/>
                <w:sz w:val="18"/>
                <w:szCs w:val="18"/>
                <w:color w:val="auto"/>
              </w:rPr>
              <w:t>Non-current deferred tax assets, net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spacing w:after="0" w:line="279" w:lineRule="auto"/>
        <w:rPr>
          <w:sz w:val="20"/>
          <w:szCs w:val="20"/>
          <w:color w:val="auto"/>
        </w:rPr>
      </w:pPr>
      <w:r>
        <w:rPr>
          <w:rFonts w:ascii="Arial" w:cs="Arial" w:eastAsia="Arial" w:hAnsi="Arial"/>
          <w:sz w:val="17"/>
          <w:szCs w:val="17"/>
          <w:color w:val="auto"/>
        </w:rPr>
        <w:t>The Group considers the following factors, among other matters, when determining whether some portion or all of the deferred tax assets will more likely than not be realized: the nature, frequency and severity of recent losses, forecasts of future profitability, the duration of statutory carry-forward periods, the Group’s experience with tax attributes expiring unused and tax planning alternatives. The Group’s ability to realize deferred tax assets depends on its ability to generate sufficient taxable income within the carry-forward periods provided for in the tax law.</w:t>
      </w:r>
    </w:p>
    <w:p>
      <w:pPr>
        <w:spacing w:after="0" w:line="63" w:lineRule="exact"/>
        <w:rPr>
          <w:sz w:val="20"/>
          <w:szCs w:val="20"/>
          <w:color w:val="auto"/>
        </w:rPr>
      </w:pPr>
    </w:p>
    <w:p>
      <w:pPr>
        <w:ind w:left="620" w:right="120"/>
        <w:spacing w:after="0" w:line="255" w:lineRule="auto"/>
        <w:rPr>
          <w:sz w:val="20"/>
          <w:szCs w:val="20"/>
          <w:color w:val="auto"/>
        </w:rPr>
      </w:pPr>
      <w:r>
        <w:rPr>
          <w:rFonts w:ascii="Arial" w:cs="Arial" w:eastAsia="Arial" w:hAnsi="Arial"/>
          <w:sz w:val="18"/>
          <w:szCs w:val="18"/>
          <w:color w:val="auto"/>
        </w:rPr>
        <w:t>As of December 31, 2013, the tax loss carry-forward for Beijing Momo IT, Beijing Momo and its subsidiary amounted to $11,522 and would expire on various dates between December 31, 2016 and December 31, 2018. As of December 31, 2013, the tax loss carry-forward for Momo HK amounted to $149 and would be carried forward indefinitely and set off against its future taxable profits. The Group does not file combined or consolidated tax returns, therefore, losses from individual subsidiaries or the VIE may not be used to offset other subsidiaries’ or VIE’s earnings within the Group. Valuation allowance is considered on each individual subsidiary and legal entity basis. Valuation allowances have been established in respect of certain deferred tax assets as it is considered more likely than not that the relevant deferred tax assets will not be realized in the foreseeable future.</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8460" w:hanging="452"/>
        <w:spacing w:after="0" w:line="454" w:lineRule="auto"/>
        <w:tabs>
          <w:tab w:leader="none" w:pos="449"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 continued PRC - </w:t>
      </w:r>
      <w:r>
        <w:rPr>
          <w:rFonts w:ascii="Arial" w:cs="Arial" w:eastAsia="Arial" w:hAnsi="Arial"/>
          <w:sz w:val="18"/>
          <w:szCs w:val="18"/>
          <w:color w:val="auto"/>
        </w:rPr>
        <w:t>continued</w:t>
      </w:r>
    </w:p>
    <w:p>
      <w:pPr>
        <w:spacing w:after="0" w:line="126" w:lineRule="exact"/>
        <w:rPr>
          <w:sz w:val="20"/>
          <w:szCs w:val="20"/>
          <w:color w:val="auto"/>
        </w:rPr>
      </w:pPr>
    </w:p>
    <w:p>
      <w:pPr>
        <w:ind w:left="620" w:right="240"/>
        <w:spacing w:after="0" w:line="277" w:lineRule="auto"/>
        <w:rPr>
          <w:sz w:val="20"/>
          <w:szCs w:val="20"/>
          <w:color w:val="auto"/>
        </w:rPr>
      </w:pPr>
      <w:r>
        <w:rPr>
          <w:rFonts w:ascii="Arial" w:cs="Arial" w:eastAsia="Arial" w:hAnsi="Arial"/>
          <w:sz w:val="18"/>
          <w:szCs w:val="18"/>
          <w:color w:val="auto"/>
        </w:rPr>
        <w:t>Reconciliation between the expense (benefit) of income taxes computed by applying the PRC tax rate to loss before income taxes and the actual provision for income taxes is as follows:</w:t>
      </w:r>
    </w:p>
    <w:p>
      <w:pPr>
        <w:spacing w:after="0" w:line="193" w:lineRule="exact"/>
        <w:rPr>
          <w:sz w:val="20"/>
          <w:szCs w:val="20"/>
          <w:color w:val="auto"/>
        </w:rPr>
      </w:pPr>
    </w:p>
    <w:p>
      <w:pPr>
        <w:jc w:val="center"/>
        <w:ind w:left="6080"/>
        <w:spacing w:after="0"/>
        <w:rPr>
          <w:sz w:val="20"/>
          <w:szCs w:val="20"/>
          <w:color w:val="auto"/>
        </w:rPr>
      </w:pPr>
      <w:r>
        <w:rPr>
          <w:rFonts w:ascii="Arial" w:cs="Arial" w:eastAsia="Arial" w:hAnsi="Arial"/>
          <w:sz w:val="14"/>
          <w:szCs w:val="14"/>
          <w:color w:val="auto"/>
        </w:rPr>
        <w:t>For the years ended</w:t>
      </w:r>
    </w:p>
    <w:p>
      <w:pPr>
        <w:jc w:val="center"/>
        <w:ind w:left="6080"/>
        <w:spacing w:after="0" w:line="231" w:lineRule="auto"/>
        <w:rPr>
          <w:sz w:val="20"/>
          <w:szCs w:val="20"/>
          <w:color w:val="auto"/>
        </w:rPr>
      </w:pPr>
      <w:r>
        <w:rPr>
          <w:rFonts w:ascii="Arial" w:cs="Arial" w:eastAsia="Arial" w:hAnsi="Arial"/>
          <w:sz w:val="14"/>
          <w:szCs w:val="14"/>
          <w:color w:val="auto"/>
        </w:rPr>
        <w:t>December 31,</w:t>
      </w:r>
    </w:p>
    <w:tbl>
      <w:tblPr>
        <w:tblLayout w:type="fixed"/>
        <w:tblInd w:w="1500" w:type="dxa"/>
        <w:tblCellMar>
          <w:top w:w="0" w:type="dxa"/>
          <w:left w:w="0" w:type="dxa"/>
          <w:bottom w:w="0" w:type="dxa"/>
          <w:right w:w="0" w:type="dxa"/>
        </w:tblCellMar>
      </w:tblPr>
      <w:tr>
        <w:trPr>
          <w:trHeight w:val="142"/>
        </w:trPr>
        <w:tc>
          <w:tcPr>
            <w:tcW w:w="62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2012</w:t>
            </w:r>
          </w:p>
        </w:tc>
        <w:tc>
          <w:tcPr>
            <w:tcW w:w="8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before provision for income tax</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$(3,839)</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$(9,326)</w:t>
            </w:r>
          </w:p>
        </w:tc>
        <w:tc>
          <w:tcPr>
            <w:tcW w:w="200" w:type="dxa"/>
            <w:vAlign w:val="bottom"/>
            <w:shd w:val="clear" w:color="auto" w:fill="CCEEFF"/>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PRC statutory tax rate</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7"/>
        </w:trPr>
        <w:tc>
          <w:tcPr>
            <w:tcW w:w="6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at statutory tax rate</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(960)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(2,332)</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(90)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842</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2,355</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Effect of income tax rate difference in other jurisdictions</w:t>
            </w: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208</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220"/>
        <w:spacing w:after="0" w:line="264" w:lineRule="auto"/>
        <w:rPr>
          <w:sz w:val="20"/>
          <w:szCs w:val="20"/>
          <w:color w:val="auto"/>
        </w:rPr>
      </w:pPr>
      <w:r>
        <w:rPr>
          <w:rFonts w:ascii="Arial" w:cs="Arial" w:eastAsia="Arial" w:hAnsi="Arial"/>
          <w:sz w:val="18"/>
          <w:szCs w:val="18"/>
          <w:color w:val="auto"/>
        </w:rPr>
        <w:t>The Group did not identify significant unrecognized tax benefits for the years ended December 31, 2012 and 2013. The Group did not incur any interest and penalties related to potential underpaid income tax expenses and also believed that uncertainty in income taxes did not have a significant impact on the unrecognized tax benefits within next twelve months.</w:t>
      </w:r>
    </w:p>
    <w:p>
      <w:pPr>
        <w:spacing w:after="0" w:line="326" w:lineRule="exact"/>
        <w:rPr>
          <w:sz w:val="20"/>
          <w:szCs w:val="20"/>
          <w:color w:val="auto"/>
        </w:rPr>
      </w:pPr>
    </w:p>
    <w:p>
      <w:pPr>
        <w:ind w:left="620" w:hanging="441"/>
        <w:spacing w:after="0"/>
        <w:tabs>
          <w:tab w:leader="none" w:pos="6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62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November 23, 2011, the Company was authorized to issue a maximum 500,000,000 shares of a single class and issued 147,000,000 ordinary shares with a par value of $0.0001.</w:t>
      </w:r>
    </w:p>
    <w:p>
      <w:pPr>
        <w:spacing w:after="0" w:line="62" w:lineRule="exact"/>
        <w:rPr>
          <w:rFonts w:ascii="Arial" w:cs="Arial" w:eastAsia="Arial" w:hAnsi="Arial"/>
          <w:sz w:val="18"/>
          <w:szCs w:val="18"/>
          <w:b w:val="1"/>
          <w:bCs w:val="1"/>
          <w:color w:val="auto"/>
        </w:rPr>
      </w:pPr>
    </w:p>
    <w:p>
      <w:pPr>
        <w:ind w:left="620" w:right="7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April 12, 2012, the authorized 500,000,000 shares were divided into 446,545,450 ordinary shares and 53,454,550 preferred shares in connection with the issuance of Series A-1 and A-2 convertible redeemable participating preferred shares.</w:t>
      </w:r>
    </w:p>
    <w:p>
      <w:pPr>
        <w:spacing w:after="0" w:line="38" w:lineRule="exact"/>
        <w:rPr>
          <w:rFonts w:ascii="Arial" w:cs="Arial" w:eastAsia="Arial" w:hAnsi="Arial"/>
          <w:sz w:val="18"/>
          <w:szCs w:val="18"/>
          <w:b w:val="1"/>
          <w:bCs w:val="1"/>
          <w:color w:val="auto"/>
        </w:rPr>
      </w:pPr>
    </w:p>
    <w:p>
      <w:pPr>
        <w:ind w:left="62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In April 2012, the Company’s four founding shareholders entered into an arrangement with the investor in conjunction with the issuance of Series A and Series B convertible redeemable participating preferred shares, whereby all of their 147,000,000 ordinary shares (“Founders’ shares”) became subject to service and transfer restrictions. Such Founders’ shares are subject to repurchase by the Company upon early termination of four years of employment of four founders from April 2012. Notwithstanding the foregoing, the Founders shall exercise all rights and privileges of a holder of ordinary shares of the Company with respect to the Founders’ shares. The Founders shall be deemed to be the holder for purposes of receiving any dividends that may be paid with respect to the Founders’ shares and for the purpose of exercising any voting rights relating to the Founders’ shares, even if some or all of Founders’ shares have not yet vested and been released from the repurchase rights. Please refer to</w:t>
      </w:r>
    </w:p>
    <w:p>
      <w:pPr>
        <w:spacing w:after="0" w:line="2"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Note 12 (II) for disclosure of nonvested restricted shares.</w:t>
      </w:r>
    </w:p>
    <w:p>
      <w:pPr>
        <w:spacing w:after="0" w:line="102" w:lineRule="exact"/>
        <w:rPr>
          <w:rFonts w:ascii="Arial" w:cs="Arial" w:eastAsia="Arial" w:hAnsi="Arial"/>
          <w:sz w:val="18"/>
          <w:szCs w:val="18"/>
          <w:b w:val="1"/>
          <w:bCs w:val="1"/>
          <w:color w:val="auto"/>
        </w:rPr>
      </w:pPr>
    </w:p>
    <w:p>
      <w:pPr>
        <w:ind w:left="62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June 11, 2012, the Company decreased its authorized ordinary shares from 446,545,450 shares to 426,747,470 shares in connection with the issuance of Series A-3 convertible redeemable participating preferred shares.</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 - continued</w:t>
      </w:r>
    </w:p>
    <w:p>
      <w:pPr>
        <w:spacing w:after="0" w:line="337" w:lineRule="exact"/>
        <w:rPr>
          <w:sz w:val="20"/>
          <w:szCs w:val="20"/>
          <w:color w:val="auto"/>
        </w:rPr>
      </w:pPr>
    </w:p>
    <w:p>
      <w:pPr>
        <w:ind w:left="620" w:right="260"/>
        <w:spacing w:after="0" w:line="277" w:lineRule="auto"/>
        <w:rPr>
          <w:sz w:val="20"/>
          <w:szCs w:val="20"/>
          <w:color w:val="auto"/>
        </w:rPr>
      </w:pPr>
      <w:r>
        <w:rPr>
          <w:rFonts w:ascii="Arial" w:cs="Arial" w:eastAsia="Arial" w:hAnsi="Arial"/>
          <w:sz w:val="18"/>
          <w:szCs w:val="18"/>
          <w:color w:val="auto"/>
        </w:rPr>
        <w:t>On July 13, 2012, the Company decreased its authorized ordinary shares from 426,747,470 shares to 366,789,830 shares in connection with the issuance of Series B convertible redeemable participating preferred shares.</w:t>
      </w:r>
    </w:p>
    <w:p>
      <w:pPr>
        <w:spacing w:after="0" w:line="62" w:lineRule="exact"/>
        <w:rPr>
          <w:sz w:val="20"/>
          <w:szCs w:val="20"/>
          <w:color w:val="auto"/>
        </w:rPr>
      </w:pPr>
    </w:p>
    <w:p>
      <w:pPr>
        <w:ind w:left="620" w:right="160"/>
        <w:spacing w:after="0" w:line="257" w:lineRule="auto"/>
        <w:rPr>
          <w:sz w:val="20"/>
          <w:szCs w:val="20"/>
          <w:color w:val="auto"/>
        </w:rPr>
      </w:pPr>
      <w:r>
        <w:rPr>
          <w:rFonts w:ascii="Arial" w:cs="Arial" w:eastAsia="Arial" w:hAnsi="Arial"/>
          <w:sz w:val="18"/>
          <w:szCs w:val="18"/>
          <w:color w:val="auto"/>
        </w:rPr>
        <w:t>On September 12, 2012, a 10-for-1 stock split for all ordinary shares, Series A-1, A-2 and A-3 and Series B convertible redeemable participating preferred shares was approved by the shareholders. While the stock split increased the number of shares for each stockholder, the percentage of their ownership in the Company was not affected. This share split has been retrospectively reflected for all periods presented. In addition, the Company increased its authorized ordinary shares from 366,789,830 to 371,684,330 in connection with the preferred share transfer between investors.</w:t>
      </w:r>
    </w:p>
    <w:p>
      <w:pPr>
        <w:spacing w:after="0" w:line="80" w:lineRule="exact"/>
        <w:rPr>
          <w:sz w:val="20"/>
          <w:szCs w:val="20"/>
          <w:color w:val="auto"/>
        </w:rPr>
      </w:pPr>
    </w:p>
    <w:p>
      <w:pPr>
        <w:ind w:left="620" w:right="40"/>
        <w:spacing w:after="0" w:line="308" w:lineRule="auto"/>
        <w:rPr>
          <w:sz w:val="20"/>
          <w:szCs w:val="20"/>
          <w:color w:val="auto"/>
        </w:rPr>
      </w:pPr>
      <w:r>
        <w:rPr>
          <w:rFonts w:ascii="Arial" w:cs="Arial" w:eastAsia="Arial" w:hAnsi="Arial"/>
          <w:sz w:val="17"/>
          <w:szCs w:val="17"/>
          <w:color w:val="auto"/>
        </w:rPr>
        <w:t>On October 8, 2013, the Company was authorized to issue a maximum 1,000,000,000 shares, which was divided into 835,675,688 ordinary shares and 164,324,312 preferred shares in connection with the issuance of Series C convertible redeemable participating preferred shares.</w:t>
      </w:r>
    </w:p>
    <w:p>
      <w:pPr>
        <w:spacing w:after="0" w:line="38" w:lineRule="exact"/>
        <w:rPr>
          <w:sz w:val="20"/>
          <w:szCs w:val="20"/>
          <w:color w:val="auto"/>
        </w:rPr>
      </w:pPr>
    </w:p>
    <w:p>
      <w:pPr>
        <w:ind w:left="620" w:right="100"/>
        <w:spacing w:after="0" w:line="264" w:lineRule="auto"/>
        <w:rPr>
          <w:sz w:val="20"/>
          <w:szCs w:val="20"/>
          <w:color w:val="auto"/>
        </w:rPr>
      </w:pPr>
      <w:r>
        <w:rPr>
          <w:rFonts w:ascii="Arial" w:cs="Arial" w:eastAsia="Arial" w:hAnsi="Arial"/>
          <w:sz w:val="18"/>
          <w:szCs w:val="18"/>
          <w:color w:val="auto"/>
        </w:rPr>
        <w:t>As of December 31, 2012 and 2013, there were 147,000,000 ordinary shares issued and outstanding of which 94,937,500 and 58,187,500 were nonvested restricted shares, respectively. The holders of these nonvested restricted shares have a nonforfeitable right to receive dividends with all ordinary shares.</w:t>
      </w:r>
    </w:p>
    <w:p>
      <w:pPr>
        <w:spacing w:after="0" w:line="326" w:lineRule="exact"/>
        <w:rPr>
          <w:sz w:val="20"/>
          <w:szCs w:val="20"/>
          <w:color w:val="auto"/>
        </w:rPr>
      </w:pPr>
    </w:p>
    <w:p>
      <w:pPr>
        <w:ind w:left="620" w:hanging="441"/>
        <w:spacing w:after="0"/>
        <w:tabs>
          <w:tab w:leader="none" w:pos="62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PARTICIPATING PREFERRED SHARES</w:t>
      </w:r>
    </w:p>
    <w:p>
      <w:pPr>
        <w:spacing w:after="0" w:line="121" w:lineRule="exact"/>
        <w:rPr>
          <w:rFonts w:ascii="Arial" w:cs="Arial" w:eastAsia="Arial" w:hAnsi="Arial"/>
          <w:sz w:val="18"/>
          <w:szCs w:val="18"/>
          <w:b w:val="1"/>
          <w:bCs w:val="1"/>
          <w:color w:val="auto"/>
        </w:rPr>
      </w:pPr>
    </w:p>
    <w:p>
      <w:pPr>
        <w:jc w:val="both"/>
        <w:ind w:left="62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April 12, 2012, the Group entered into the preferred share purchase agreements with a group of investors to issue an aggregate of 53,454,550 convertible redeemable participating preferred shares Series A-1 (“Series A-1”) and convertible redeemable participating preferred shares Series A-2 (“Series A-2”) to a group of investors for an aggregate consideration of $2,100.</w:t>
      </w:r>
    </w:p>
    <w:p>
      <w:pPr>
        <w:spacing w:after="0" w:line="57" w:lineRule="exact"/>
        <w:rPr>
          <w:rFonts w:ascii="Arial" w:cs="Arial" w:eastAsia="Arial" w:hAnsi="Arial"/>
          <w:sz w:val="18"/>
          <w:szCs w:val="18"/>
          <w:b w:val="1"/>
          <w:bCs w:val="1"/>
          <w:color w:val="auto"/>
        </w:rPr>
      </w:pPr>
    </w:p>
    <w:p>
      <w:pPr>
        <w:ind w:left="62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June 11, 2012, the Group entered into the preferred share purchase agreements with a group of investors to issue an aggregate of 19,797,980 convertible redeemable participating preferred shares Series A-3 (“Series A-3”) (Series A-1, Series A-2 and Series A-3 are collectively referred to as “Series A”) to a group of investors for a consideration of $4,000.</w:t>
      </w:r>
    </w:p>
    <w:p>
      <w:pPr>
        <w:spacing w:after="0" w:line="73" w:lineRule="exact"/>
        <w:rPr>
          <w:rFonts w:ascii="Arial" w:cs="Arial" w:eastAsia="Arial" w:hAnsi="Arial"/>
          <w:sz w:val="18"/>
          <w:szCs w:val="18"/>
          <w:b w:val="1"/>
          <w:bCs w:val="1"/>
          <w:color w:val="auto"/>
        </w:rPr>
      </w:pPr>
    </w:p>
    <w:p>
      <w:pPr>
        <w:ind w:left="620"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July 13, 2012, the Group entered into the preferred share purchase agreements with a group of investors to issue an aggregate of 55,063,140 convertible redeemable participating preferred shares Series B (“Series B”) to a group of investors for a consideration of $18,006.</w:t>
      </w:r>
    </w:p>
    <w:p>
      <w:pPr>
        <w:spacing w:after="0" w:line="15" w:lineRule="exact"/>
        <w:rPr>
          <w:rFonts w:ascii="Arial" w:cs="Arial" w:eastAsia="Arial" w:hAnsi="Arial"/>
          <w:sz w:val="18"/>
          <w:szCs w:val="18"/>
          <w:b w:val="1"/>
          <w:bCs w:val="1"/>
          <w:color w:val="auto"/>
        </w:rPr>
      </w:pPr>
    </w:p>
    <w:p>
      <w:pPr>
        <w:ind w:left="6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July 2012, the Group redesignated 4,894,500 Series A-1 preferred shares held by an old investor into Series B preferred shares, and the old investor then transferred 4,894,500 Series B preferred shares to a new investor at the purchase price of $0.286 per share for a total consideration of $1,400 in cash. Also in January 2013, the Group redesignated another 10,079,373 Series A-1 preferred shares of the same old investor into Series B preferred shares, and the old investor then transferred 10,079,373 Series B preferred shares to the same new investor at the purchase price of $0.425 per share for a total consideration of $4,280 in cash. The Group did not receive any proceeds for the transfer between the old investor and the new investor, nor receive any consideration for the redesignation for the shares transferred. The Group accounted for such redesignation as an extinguishment of 4,894,500 and 10,079,373 Series A-1 preferred shares repurchased and recorded $1,361 and $2,766 as deem dividend for the years ended December 31, 2012 and 2013, respectively, based on the difference between the fair value of the consideration transferred to the new investor (i.e., fair value of Series B preferred shares) and the carrying amount of such Series A-1 preferred shares.</w:t>
      </w:r>
    </w:p>
    <w:p>
      <w:pPr>
        <w:spacing w:after="0" w:line="36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PARTICIPATING PREFERRED SHARES - continued</w:t>
      </w:r>
    </w:p>
    <w:p>
      <w:pPr>
        <w:spacing w:after="0" w:line="337" w:lineRule="exact"/>
        <w:rPr>
          <w:sz w:val="20"/>
          <w:szCs w:val="20"/>
          <w:color w:val="auto"/>
        </w:rPr>
      </w:pPr>
    </w:p>
    <w:p>
      <w:pPr>
        <w:ind w:left="620" w:right="60"/>
        <w:spacing w:after="0" w:line="342" w:lineRule="auto"/>
        <w:rPr>
          <w:sz w:val="20"/>
          <w:szCs w:val="20"/>
          <w:color w:val="auto"/>
        </w:rPr>
      </w:pPr>
      <w:r>
        <w:rPr>
          <w:rFonts w:ascii="Arial" w:cs="Arial" w:eastAsia="Arial" w:hAnsi="Arial"/>
          <w:sz w:val="16"/>
          <w:szCs w:val="16"/>
          <w:color w:val="auto"/>
        </w:rPr>
        <w:t>On October 8, 2013, the Group entered into the preferred share purchase agreements with a group of investors to issue an aggregate of 36,008,642 convertible redeemable participating preferred shares Series C (“Series C”) to a group of investors for a consideration of $45,000.</w:t>
      </w:r>
    </w:p>
    <w:p>
      <w:pPr>
        <w:spacing w:after="0" w:line="16" w:lineRule="exact"/>
        <w:rPr>
          <w:sz w:val="20"/>
          <w:szCs w:val="20"/>
          <w:color w:val="auto"/>
        </w:rPr>
      </w:pPr>
    </w:p>
    <w:p>
      <w:pPr>
        <w:ind w:left="620" w:right="40"/>
        <w:spacing w:after="0" w:line="277" w:lineRule="auto"/>
        <w:rPr>
          <w:sz w:val="20"/>
          <w:szCs w:val="20"/>
          <w:color w:val="auto"/>
        </w:rPr>
      </w:pPr>
      <w:r>
        <w:rPr>
          <w:rFonts w:ascii="Arial" w:cs="Arial" w:eastAsia="Arial" w:hAnsi="Arial"/>
          <w:sz w:val="18"/>
          <w:szCs w:val="18"/>
          <w:color w:val="auto"/>
        </w:rPr>
        <w:t>As of December 31, 2013, there were 38,480,677 Series A-1 and Series A-2, 19,797,980 Series A-3, 70,037,013 Series B and 36,008,642 Series C convertible redeemable participating preferred shares outstanding, respectively.</w:t>
      </w:r>
    </w:p>
    <w:p>
      <w:pPr>
        <w:spacing w:after="0" w:line="62" w:lineRule="exact"/>
        <w:rPr>
          <w:sz w:val="20"/>
          <w:szCs w:val="20"/>
          <w:color w:val="auto"/>
        </w:rPr>
      </w:pPr>
    </w:p>
    <w:p>
      <w:pPr>
        <w:ind w:left="620" w:right="320"/>
        <w:spacing w:after="0" w:line="277" w:lineRule="auto"/>
        <w:rPr>
          <w:sz w:val="20"/>
          <w:szCs w:val="20"/>
          <w:color w:val="auto"/>
        </w:rPr>
      </w:pPr>
      <w:r>
        <w:rPr>
          <w:rFonts w:ascii="Arial" w:cs="Arial" w:eastAsia="Arial" w:hAnsi="Arial"/>
          <w:sz w:val="18"/>
          <w:szCs w:val="18"/>
          <w:color w:val="auto"/>
        </w:rPr>
        <w:t>All the series are collectively called the preferred shares. The preferred shares were accounted as mezzanine equity. Key terms of the preferred shares are summarized as follows: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620" w:right="280"/>
        <w:spacing w:after="0" w:line="277" w:lineRule="auto"/>
        <w:rPr>
          <w:sz w:val="20"/>
          <w:szCs w:val="20"/>
          <w:color w:val="auto"/>
        </w:rPr>
      </w:pPr>
      <w:r>
        <w:rPr>
          <w:rFonts w:ascii="Arial" w:cs="Arial" w:eastAsia="Arial" w:hAnsi="Arial"/>
          <w:sz w:val="18"/>
          <w:szCs w:val="18"/>
          <w:color w:val="auto"/>
        </w:rPr>
        <w:t>Shareholders of the preferred shares are entitled to the number of votes equal to the number of ordinary shares into which such preferred shares could be converted at the record date.</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20"/>
        <w:spacing w:after="0" w:line="276" w:lineRule="auto"/>
        <w:rPr>
          <w:sz w:val="20"/>
          <w:szCs w:val="20"/>
          <w:color w:val="auto"/>
        </w:rPr>
      </w:pPr>
      <w:r>
        <w:rPr>
          <w:rFonts w:ascii="Arial" w:cs="Arial" w:eastAsia="Arial" w:hAnsi="Arial"/>
          <w:sz w:val="17"/>
          <w:szCs w:val="17"/>
          <w:color w:val="auto"/>
        </w:rPr>
        <w:t>Whenever a dividend is declared by the board of directors of the Company, the preferred shares holders shall receive, in preference to any dividend on any ordinary shares a cumulative dividend in an amount equal to 8% annually of the Original Issue Price, which was defined as $0.04714, $0.13469, $0.20204, $0.327 and $1.2497 per share for Series A-1, A-2, A-3, B and C preferred shares, respectively, as adjusted for stock splits, stock dividends, etc., and shall also participate on an as converted basis with respect to any dividends payable to the ordinary shares. The sequence of dividend participating right of all series of preferred shares was as follows:</w:t>
      </w:r>
    </w:p>
    <w:p>
      <w:pPr>
        <w:spacing w:after="0" w:line="78" w:lineRule="exact"/>
        <w:rPr>
          <w:sz w:val="20"/>
          <w:szCs w:val="20"/>
          <w:color w:val="auto"/>
        </w:rPr>
      </w:pPr>
    </w:p>
    <w:p>
      <w:pPr>
        <w:ind w:left="1040" w:hanging="429"/>
        <w:spacing w:after="0"/>
        <w:tabs>
          <w:tab w:leader="none" w:pos="10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Series C</w:t>
      </w:r>
    </w:p>
    <w:p>
      <w:pPr>
        <w:spacing w:after="0" w:line="130" w:lineRule="exact"/>
        <w:rPr>
          <w:rFonts w:ascii="Arial" w:cs="Arial" w:eastAsia="Arial" w:hAnsi="Arial"/>
          <w:sz w:val="18"/>
          <w:szCs w:val="18"/>
          <w:color w:val="auto"/>
        </w:rPr>
      </w:pPr>
    </w:p>
    <w:p>
      <w:pPr>
        <w:ind w:left="1040" w:hanging="429"/>
        <w:spacing w:after="0"/>
        <w:tabs>
          <w:tab w:leader="none" w:pos="10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Series B</w:t>
      </w:r>
    </w:p>
    <w:p>
      <w:pPr>
        <w:spacing w:after="0" w:line="131" w:lineRule="exact"/>
        <w:rPr>
          <w:sz w:val="20"/>
          <w:szCs w:val="20"/>
          <w:color w:val="auto"/>
        </w:rPr>
      </w:pPr>
    </w:p>
    <w:p>
      <w:pPr>
        <w:ind w:left="1040" w:hanging="429"/>
        <w:spacing w:after="0"/>
        <w:tabs>
          <w:tab w:leader="none" w:pos="10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Series A-3</w:t>
      </w:r>
    </w:p>
    <w:p>
      <w:pPr>
        <w:spacing w:after="0" w:line="130" w:lineRule="exact"/>
        <w:rPr>
          <w:rFonts w:ascii="Arial" w:cs="Arial" w:eastAsia="Arial" w:hAnsi="Arial"/>
          <w:sz w:val="18"/>
          <w:szCs w:val="18"/>
          <w:color w:val="auto"/>
        </w:rPr>
      </w:pPr>
    </w:p>
    <w:p>
      <w:pPr>
        <w:ind w:left="1040" w:hanging="429"/>
        <w:spacing w:after="0"/>
        <w:tabs>
          <w:tab w:leader="none" w:pos="10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Series A-1, A-2</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the event of any liquidation, dissolution or winding up of the Company, either voluntary or involuntary, distributions to the shareholders of the</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Company shall be made in the following manners:</w:t>
      </w:r>
    </w:p>
    <w:p>
      <w:pPr>
        <w:spacing w:after="0" w:line="116" w:lineRule="exact"/>
        <w:rPr>
          <w:sz w:val="20"/>
          <w:szCs w:val="20"/>
          <w:color w:val="auto"/>
        </w:rPr>
      </w:pPr>
    </w:p>
    <w:p>
      <w:pPr>
        <w:ind w:left="1040" w:right="100" w:hanging="429"/>
        <w:spacing w:after="0" w:line="276" w:lineRule="auto"/>
        <w:tabs>
          <w:tab w:leader="none" w:pos="10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Before any distribution or payment shall be made to the holders of any ordinary shares, Series A preferred shares or Series B preferred shares, each holder of Series C preferred shares shall be entitled to receive an amount equal to one hundred and thirty percent (130%) of the Original Issue Price of Series C preferred shares (adjusted for any share splits, share dividends, combinations, recapitalizations and similar transactions), plus all dividends accrued and unpaid with respect thereto (as adjusted for any share splits, share dividends, combinations, recapitalizations and similar transactions) per Series C preferred share then held by such holder.</w:t>
      </w:r>
    </w:p>
    <w:p>
      <w:pPr>
        <w:spacing w:after="0" w:line="77" w:lineRule="exact"/>
        <w:rPr>
          <w:rFonts w:ascii="Arial" w:cs="Arial" w:eastAsia="Arial" w:hAnsi="Arial"/>
          <w:sz w:val="17"/>
          <w:szCs w:val="17"/>
          <w:color w:val="auto"/>
        </w:rPr>
      </w:pPr>
    </w:p>
    <w:p>
      <w:pPr>
        <w:ind w:left="1040" w:right="280" w:hanging="429"/>
        <w:spacing w:after="0" w:line="277" w:lineRule="auto"/>
        <w:tabs>
          <w:tab w:leader="none" w:pos="10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After distribution or payment in full of the amount distributable or payable pursuant to (i) and before any distribution or payment shall be made to the holders of any ordinary shares or Series A preferred</w:t>
      </w: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3760" w:hanging="452"/>
        <w:spacing w:after="0" w:line="454" w:lineRule="auto"/>
        <w:tabs>
          <w:tab w:leader="none" w:pos="449"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REDEEMABLE PARTICIPATING PREFERRED SHARES - continued </w:t>
      </w:r>
      <w:r>
        <w:rPr>
          <w:rFonts w:ascii="Arial" w:cs="Arial" w:eastAsia="Arial" w:hAnsi="Arial"/>
          <w:sz w:val="18"/>
          <w:szCs w:val="18"/>
          <w:i w:val="1"/>
          <w:iCs w:val="1"/>
          <w:color w:val="auto"/>
        </w:rPr>
        <w:t xml:space="preserve">Liquidation preference </w:t>
      </w:r>
      <w:r>
        <w:rPr>
          <w:rFonts w:ascii="Arial" w:cs="Arial" w:eastAsia="Arial" w:hAnsi="Arial"/>
          <w:sz w:val="18"/>
          <w:szCs w:val="18"/>
          <w:color w:val="auto"/>
        </w:rPr>
        <w:t>- continued</w:t>
      </w:r>
    </w:p>
    <w:p>
      <w:pPr>
        <w:spacing w:after="0" w:line="126" w:lineRule="exact"/>
        <w:rPr>
          <w:sz w:val="20"/>
          <w:szCs w:val="20"/>
          <w:color w:val="auto"/>
        </w:rPr>
      </w:pPr>
    </w:p>
    <w:p>
      <w:pPr>
        <w:ind w:left="1060" w:right="100"/>
        <w:spacing w:after="0" w:line="259" w:lineRule="auto"/>
        <w:rPr>
          <w:sz w:val="20"/>
          <w:szCs w:val="20"/>
          <w:color w:val="auto"/>
        </w:rPr>
      </w:pPr>
      <w:r>
        <w:rPr>
          <w:rFonts w:ascii="Arial" w:cs="Arial" w:eastAsia="Arial" w:hAnsi="Arial"/>
          <w:sz w:val="18"/>
          <w:szCs w:val="18"/>
          <w:color w:val="auto"/>
        </w:rPr>
        <w:t>shares, each holder of Series B preferred shares shall be entitled to receive an amount equal to one hundred percent (100%) of the Original Issue Price of Series B (adjusted for any share splits, share dividends, combinations, recapitalizations and similar transactions), plus all dividends accrued and unpaid with respect thereto (as adjusted for any share splits, share dividends, combinations, recapitalizations and similar transactions) per Series B preferred share then held by such holder.</w:t>
      </w:r>
    </w:p>
    <w:p>
      <w:pPr>
        <w:spacing w:after="0" w:line="92" w:lineRule="exact"/>
        <w:rPr>
          <w:sz w:val="20"/>
          <w:szCs w:val="20"/>
          <w:color w:val="auto"/>
        </w:rPr>
      </w:pPr>
    </w:p>
    <w:p>
      <w:pPr>
        <w:ind w:left="1040" w:right="200" w:hanging="429"/>
        <w:spacing w:after="0" w:line="255" w:lineRule="auto"/>
        <w:tabs>
          <w:tab w:leader="none" w:pos="10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After distribution or payment in full of the amount distributable or payable pursuant to (i) and (ii) and before any distribution or payment shall be made to the holders of any ordinary shares, Series A-1 preferred shares or Series A-2 preferred shares, each holder of Series A-3 preferred shares shall be entitled to receive an amount equal to one hundred percent (100%) of the Original Issue Price of Series A-3 (adjusted for any share splits, share dividends, combinations, recapitalizations and similar transactions), plus all dividends accrued and unpaid with respect thereto (as adjusted for any share splits, share dividends, combinations, recapitalizations and similar transactions) per Series A-3 preferred share then held by such holder.</w:t>
      </w:r>
    </w:p>
    <w:p>
      <w:pPr>
        <w:spacing w:after="0" w:line="98" w:lineRule="exact"/>
        <w:rPr>
          <w:rFonts w:ascii="Arial" w:cs="Arial" w:eastAsia="Arial" w:hAnsi="Arial"/>
          <w:sz w:val="18"/>
          <w:szCs w:val="18"/>
          <w:color w:val="auto"/>
        </w:rPr>
      </w:pPr>
    </w:p>
    <w:p>
      <w:pPr>
        <w:ind w:left="1040" w:hanging="429"/>
        <w:spacing w:after="0" w:line="255" w:lineRule="auto"/>
        <w:tabs>
          <w:tab w:leader="none" w:pos="10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After distribution or payment in full of the amount distributable or payable pursuant to (i), (ii) and (iii) and before any distribution or payment shall be made to the holders of any ordinary shares, each holder of Series A-1 preferred shares and each holder of Series A-2 preferred shares shall be entitled to receive on a pari passu basis an amount equal to one hundred fifty percent (150%) of the Original Issue Price of Series A-1 or the Original Issue Price of Series A-2 (as the case may be) (adjusted for any share splits, share dividends, combinations, recapitalizations and similar transactions), plus all dividends accrued and unpaid with respect thereto (as adjusted for any share splits, share dividends, combinations, recapitalizations and similar transactions) per Series A-1 preferred share or Series A-2 preferred share, as the case may be, then held by such holder.</w:t>
      </w:r>
    </w:p>
    <w:p>
      <w:pPr>
        <w:spacing w:after="0" w:line="94" w:lineRule="exact"/>
        <w:rPr>
          <w:rFonts w:ascii="Arial" w:cs="Arial" w:eastAsia="Arial" w:hAnsi="Arial"/>
          <w:sz w:val="18"/>
          <w:szCs w:val="18"/>
          <w:color w:val="auto"/>
        </w:rPr>
      </w:pPr>
    </w:p>
    <w:p>
      <w:pPr>
        <w:ind w:left="1040" w:right="240" w:hanging="429"/>
        <w:spacing w:after="0" w:line="259" w:lineRule="auto"/>
        <w:tabs>
          <w:tab w:leader="none" w:pos="10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After distribution or payment in full of the amount distributable or payable on the preferred shares pursuant to (i), (ii), (iii) and (iv), the remaining assets of the Company available for distribution to shareholders shall first be used to pay any accrued but unpaid dividends on other shares and then be distributed ratably among the holders of outstanding ordinary shares and holders of preferred shares on an as-converted basis.</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of December 31, 2013, the liquidation value of the preferred shares was $93,673.</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620"/>
        <w:spacing w:after="0" w:line="264" w:lineRule="auto"/>
        <w:rPr>
          <w:sz w:val="20"/>
          <w:szCs w:val="20"/>
          <w:color w:val="auto"/>
        </w:rPr>
      </w:pPr>
      <w:r>
        <w:rPr>
          <w:rFonts w:ascii="Arial" w:cs="Arial" w:eastAsia="Arial" w:hAnsi="Arial"/>
          <w:sz w:val="18"/>
          <w:szCs w:val="18"/>
          <w:color w:val="auto"/>
        </w:rPr>
        <w:t>At any time after (i) the fourth (4) anniversary of the closing of the Series C preferred share issuance, each holder of the then outstanding Series C preferred shares, or (ii) December 31, 2016, each holder of the then outstanding Series A preferred shares and Series B preferred shares, may require that the Company redeem all of its preferred shares.</w:t>
      </w:r>
    </w:p>
    <w:p>
      <w:pPr>
        <w:spacing w:after="0" w:line="73" w:lineRule="exact"/>
        <w:rPr>
          <w:sz w:val="20"/>
          <w:szCs w:val="20"/>
          <w:color w:val="auto"/>
        </w:rPr>
      </w:pPr>
    </w:p>
    <w:p>
      <w:pPr>
        <w:ind w:left="620" w:right="80"/>
        <w:spacing w:after="0" w:line="259" w:lineRule="auto"/>
        <w:rPr>
          <w:sz w:val="20"/>
          <w:szCs w:val="20"/>
          <w:color w:val="auto"/>
        </w:rPr>
      </w:pPr>
      <w:r>
        <w:rPr>
          <w:rFonts w:ascii="Arial" w:cs="Arial" w:eastAsia="Arial" w:hAnsi="Arial"/>
          <w:sz w:val="18"/>
          <w:szCs w:val="18"/>
          <w:color w:val="auto"/>
        </w:rPr>
        <w:t>The redemption price for each Series A-1 and Series A-2 preferred share shall be equal to a price per preferred share which is one hundred and fifty percent (150%) of the applicable Initial Purchase Price (equal to the applicable Original Issue Price), plus all declared or accrued but unpaid dividends thereon up until the date of redemption (adjusted for any share splits, share dividends, combinations, recapitalizations or similar transactions).</w:t>
      </w: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240" w:top="460" w:right="5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3860" w:hanging="452"/>
        <w:spacing w:after="0" w:line="454" w:lineRule="auto"/>
        <w:tabs>
          <w:tab w:leader="none" w:pos="449"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REDEEMABLE PARTICIPATING PREFERRED SHARES - continued </w:t>
      </w:r>
      <w:r>
        <w:rPr>
          <w:rFonts w:ascii="Arial" w:cs="Arial" w:eastAsia="Arial" w:hAnsi="Arial"/>
          <w:sz w:val="18"/>
          <w:szCs w:val="18"/>
          <w:i w:val="1"/>
          <w:iCs w:val="1"/>
          <w:color w:val="auto"/>
        </w:rPr>
        <w:t xml:space="preserve">Redemption </w:t>
      </w:r>
      <w:r>
        <w:rPr>
          <w:rFonts w:ascii="Arial" w:cs="Arial" w:eastAsia="Arial" w:hAnsi="Arial"/>
          <w:sz w:val="18"/>
          <w:szCs w:val="18"/>
          <w:color w:val="auto"/>
        </w:rPr>
        <w:t>- continued</w:t>
      </w:r>
    </w:p>
    <w:p>
      <w:pPr>
        <w:spacing w:after="0" w:line="126" w:lineRule="exact"/>
        <w:rPr>
          <w:sz w:val="20"/>
          <w:szCs w:val="20"/>
          <w:color w:val="auto"/>
        </w:rPr>
      </w:pPr>
    </w:p>
    <w:p>
      <w:pPr>
        <w:jc w:val="both"/>
        <w:ind w:left="620" w:right="340"/>
        <w:spacing w:after="0" w:line="312" w:lineRule="auto"/>
        <w:rPr>
          <w:sz w:val="20"/>
          <w:szCs w:val="20"/>
          <w:color w:val="auto"/>
        </w:rPr>
      </w:pPr>
      <w:r>
        <w:rPr>
          <w:rFonts w:ascii="Arial" w:cs="Arial" w:eastAsia="Arial" w:hAnsi="Arial"/>
          <w:sz w:val="16"/>
          <w:szCs w:val="16"/>
          <w:color w:val="auto"/>
        </w:rPr>
        <w:t>The redemption price for Series A-3, B and C preferred shares shall be equal to a price per share which is one hundred and twenty-five percent (125%) of the applicable Initial Purchase Price (equal to the applicable Original Issue Price), plus all declared or accrued but unpaid dividends thereon up until the date of redemption (adjusted for any share splits, share dividends, combinations, recapitalizations or similar transactions).</w:t>
      </w:r>
    </w:p>
    <w:p>
      <w:pPr>
        <w:spacing w:after="0" w:line="39" w:lineRule="exact"/>
        <w:rPr>
          <w:sz w:val="20"/>
          <w:szCs w:val="20"/>
          <w:color w:val="auto"/>
        </w:rPr>
      </w:pPr>
    </w:p>
    <w:p>
      <w:pPr>
        <w:ind w:left="620" w:right="60"/>
        <w:spacing w:after="0" w:line="308" w:lineRule="auto"/>
        <w:rPr>
          <w:sz w:val="20"/>
          <w:szCs w:val="20"/>
          <w:color w:val="auto"/>
        </w:rPr>
      </w:pPr>
      <w:r>
        <w:rPr>
          <w:rFonts w:ascii="Arial" w:cs="Arial" w:eastAsia="Arial" w:hAnsi="Arial"/>
          <w:sz w:val="17"/>
          <w:szCs w:val="17"/>
          <w:color w:val="auto"/>
        </w:rPr>
        <w:t>The Group assesses the probability of redemption and accrues proper accretion over the period from the date of issuance to the earliest redemption date of Series A-1, Series A-2, Series A-3, Series B and Series C preferred shares using the effective interest rate method.</w:t>
      </w:r>
    </w:p>
    <w:p>
      <w:pPr>
        <w:spacing w:after="0" w:line="38" w:lineRule="exact"/>
        <w:rPr>
          <w:sz w:val="20"/>
          <w:szCs w:val="20"/>
          <w:color w:val="auto"/>
        </w:rPr>
      </w:pPr>
    </w:p>
    <w:p>
      <w:pPr>
        <w:ind w:left="620" w:right="640"/>
        <w:spacing w:after="0" w:line="277" w:lineRule="auto"/>
        <w:rPr>
          <w:sz w:val="20"/>
          <w:szCs w:val="20"/>
          <w:color w:val="auto"/>
        </w:rPr>
      </w:pPr>
      <w:r>
        <w:rPr>
          <w:rFonts w:ascii="Arial" w:cs="Arial" w:eastAsia="Arial" w:hAnsi="Arial"/>
          <w:sz w:val="18"/>
          <w:szCs w:val="18"/>
          <w:color w:val="auto"/>
        </w:rPr>
        <w:t>The Group recognized $1,732 and $5,354 as deemed dividend on Series A, Series B and Series C preferred shares accretion of redemption premium for the years ended December 31, 2012 and 2013, respectively.</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620" w:right="300"/>
        <w:spacing w:after="0" w:line="342" w:lineRule="auto"/>
        <w:rPr>
          <w:sz w:val="20"/>
          <w:szCs w:val="20"/>
          <w:color w:val="auto"/>
        </w:rPr>
      </w:pPr>
      <w:r>
        <w:rPr>
          <w:rFonts w:ascii="Arial" w:cs="Arial" w:eastAsia="Arial" w:hAnsi="Arial"/>
          <w:sz w:val="16"/>
          <w:szCs w:val="16"/>
          <w:color w:val="auto"/>
        </w:rPr>
        <w:t>Each preferred share shall be convertible, at the option of the holder thereof, at any time after the original date of issuance, into such number of fully paid and nonassessable ordinary shares as determined by dividing the applicable Original Issue Price by then-effective conversion price.</w:t>
      </w:r>
    </w:p>
    <w:p>
      <w:pPr>
        <w:spacing w:after="0" w:line="16" w:lineRule="exact"/>
        <w:rPr>
          <w:sz w:val="20"/>
          <w:szCs w:val="20"/>
          <w:color w:val="auto"/>
        </w:rPr>
      </w:pPr>
    </w:p>
    <w:p>
      <w:pPr>
        <w:ind w:left="620" w:right="100"/>
        <w:spacing w:after="0" w:line="259" w:lineRule="auto"/>
        <w:rPr>
          <w:sz w:val="20"/>
          <w:szCs w:val="20"/>
          <w:color w:val="auto"/>
        </w:rPr>
      </w:pPr>
      <w:r>
        <w:rPr>
          <w:rFonts w:ascii="Arial" w:cs="Arial" w:eastAsia="Arial" w:hAnsi="Arial"/>
          <w:sz w:val="18"/>
          <w:szCs w:val="18"/>
          <w:color w:val="auto"/>
        </w:rPr>
        <w:t>The initial conversion ratio was one for one. The conversion price has a standard anti-dilution adjustment term for items such as stock splits and recapitalization. It also has a down-round provision, under which when the Company issues any additional shares at a price per share that is lower than the conversion price per share then in effect, the conversion price per share is adjusted down. There have been no such adjustments to the conversion price.</w:t>
      </w:r>
    </w:p>
    <w:p>
      <w:pPr>
        <w:spacing w:after="0" w:line="79" w:lineRule="exact"/>
        <w:rPr>
          <w:sz w:val="20"/>
          <w:szCs w:val="20"/>
          <w:color w:val="auto"/>
        </w:rPr>
      </w:pPr>
    </w:p>
    <w:p>
      <w:pPr>
        <w:ind w:left="620" w:right="140"/>
        <w:spacing w:after="0" w:line="277" w:lineRule="auto"/>
        <w:rPr>
          <w:sz w:val="20"/>
          <w:szCs w:val="20"/>
          <w:color w:val="auto"/>
        </w:rPr>
      </w:pPr>
      <w:r>
        <w:rPr>
          <w:rFonts w:ascii="Arial" w:cs="Arial" w:eastAsia="Arial" w:hAnsi="Arial"/>
          <w:sz w:val="18"/>
          <w:szCs w:val="18"/>
          <w:color w:val="auto"/>
        </w:rPr>
        <w:t>Each preferred share would automatically be converted into ordinary shares at the then effective conversion price, upon the closing of a Qualified IPO.</w:t>
      </w:r>
    </w:p>
    <w:p>
      <w:pPr>
        <w:spacing w:after="0" w:line="62" w:lineRule="exact"/>
        <w:rPr>
          <w:sz w:val="20"/>
          <w:szCs w:val="20"/>
          <w:color w:val="auto"/>
        </w:rPr>
      </w:pPr>
    </w:p>
    <w:p>
      <w:pPr>
        <w:ind w:left="620"/>
        <w:spacing w:after="0" w:line="257" w:lineRule="auto"/>
        <w:rPr>
          <w:sz w:val="20"/>
          <w:szCs w:val="20"/>
          <w:color w:val="auto"/>
        </w:rPr>
      </w:pPr>
      <w:r>
        <w:rPr>
          <w:rFonts w:ascii="Arial" w:cs="Arial" w:eastAsia="Arial" w:hAnsi="Arial"/>
          <w:sz w:val="18"/>
          <w:szCs w:val="18"/>
          <w:color w:val="auto"/>
        </w:rPr>
        <w:t>“Qualified IPO” means a firm commitment underwritten registered public offering by the Company of its ordinary Shares on the NASDAQ National Market System in the United States or Hong Kong or any other exchange in any other jurisdiction (on any combination of such exchanges and jurisdictions) acceptable to the majority preferred shareholders to the Company with aggregate offering proceeds (before deduction of fees, commissions or expenses) to the Company and selling shareholders, if any, of not less than $50,000 (or any cash proceeds of other currency of equivalent value).</w:t>
      </w:r>
    </w:p>
    <w:p>
      <w:pPr>
        <w:spacing w:after="0" w:line="80" w:lineRule="exact"/>
        <w:rPr>
          <w:sz w:val="20"/>
          <w:szCs w:val="20"/>
          <w:color w:val="auto"/>
        </w:rPr>
      </w:pPr>
    </w:p>
    <w:p>
      <w:pPr>
        <w:ind w:left="620" w:right="440"/>
        <w:spacing w:after="0" w:line="342" w:lineRule="auto"/>
        <w:rPr>
          <w:sz w:val="20"/>
          <w:szCs w:val="20"/>
          <w:color w:val="auto"/>
        </w:rPr>
      </w:pPr>
      <w:r>
        <w:rPr>
          <w:rFonts w:ascii="Arial" w:cs="Arial" w:eastAsia="Arial" w:hAnsi="Arial"/>
          <w:sz w:val="16"/>
          <w:szCs w:val="16"/>
          <w:color w:val="auto"/>
        </w:rPr>
        <w:t>The Company has determined that there was no beneficial conversion feature attributable to the various series of preferred shares because the initial conversion prices was higher than the fair value of the Company’s ordinary shares on issue date of each series shares.</w:t>
      </w:r>
    </w:p>
    <w:p>
      <w:pPr>
        <w:spacing w:after="0" w:line="268" w:lineRule="exact"/>
        <w:rPr>
          <w:sz w:val="20"/>
          <w:szCs w:val="20"/>
          <w:color w:val="auto"/>
        </w:rPr>
      </w:pPr>
    </w:p>
    <w:p>
      <w:pPr>
        <w:ind w:left="620" w:right="7820" w:hanging="441"/>
        <w:spacing w:after="0" w:line="400" w:lineRule="auto"/>
        <w:tabs>
          <w:tab w:leader="none" w:pos="610"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b w:val="1"/>
          <w:bCs w:val="1"/>
          <w:i w:val="1"/>
          <w:iCs w:val="1"/>
          <w:color w:val="auto"/>
        </w:rPr>
        <w:t>I. Share options</w:t>
      </w:r>
    </w:p>
    <w:p>
      <w:pPr>
        <w:spacing w:after="0" w:line="1" w:lineRule="exact"/>
        <w:rPr>
          <w:sz w:val="20"/>
          <w:szCs w:val="20"/>
          <w:color w:val="auto"/>
        </w:rPr>
      </w:pPr>
    </w:p>
    <w:p>
      <w:pPr>
        <w:ind w:left="620" w:right="280"/>
        <w:spacing w:after="0" w:line="308" w:lineRule="auto"/>
        <w:rPr>
          <w:sz w:val="20"/>
          <w:szCs w:val="20"/>
          <w:color w:val="auto"/>
        </w:rPr>
      </w:pPr>
      <w:r>
        <w:rPr>
          <w:rFonts w:ascii="Arial" w:cs="Arial" w:eastAsia="Arial" w:hAnsi="Arial"/>
          <w:sz w:val="17"/>
          <w:szCs w:val="17"/>
          <w:color w:val="auto"/>
        </w:rPr>
        <w:t>In November 2012, the Company adopted a share incentive plan (“2012 Plan”), which was amended in October 2013. The maximum aggregate number of shares which may be issued pursuant to all awards under the 2012 Plan is 44,758,220 ordinary shares.</w:t>
      </w: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 continued</w:t>
      </w:r>
    </w:p>
    <w:p>
      <w:pPr>
        <w:spacing w:after="0" w:line="157" w:lineRule="exact"/>
        <w:rPr>
          <w:rFonts w:ascii="Arial" w:cs="Arial" w:eastAsia="Arial" w:hAnsi="Arial"/>
          <w:sz w:val="18"/>
          <w:szCs w:val="18"/>
          <w:b w:val="1"/>
          <w:bCs w:val="1"/>
          <w:color w:val="auto"/>
        </w:rPr>
      </w:pPr>
    </w:p>
    <w:p>
      <w:pPr>
        <w:ind w:left="620" w:hanging="156"/>
        <w:spacing w:after="0"/>
        <w:tabs>
          <w:tab w:leader="none" w:pos="620" w:val="left"/>
        </w:tabs>
        <w:numPr>
          <w:ilvl w:val="1"/>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Share options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w:t>
      </w:r>
    </w:p>
    <w:p>
      <w:pPr>
        <w:spacing w:after="0" w:line="337" w:lineRule="exact"/>
        <w:rPr>
          <w:rFonts w:ascii="Arial" w:cs="Arial" w:eastAsia="Arial" w:hAnsi="Arial"/>
          <w:sz w:val="18"/>
          <w:szCs w:val="18"/>
          <w:b w:val="1"/>
          <w:bCs w:val="1"/>
          <w:i w:val="1"/>
          <w:iCs w:val="1"/>
          <w:color w:val="auto"/>
        </w:rPr>
      </w:pPr>
    </w:p>
    <w:p>
      <w:pPr>
        <w:ind w:left="620" w:right="30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On November 1, 2012, the Company granted 9,050,000 and 100,000 share options, respectively, to its employees and consultants with exercise prices of $0.0327 per share, which has a vesting period of 4 years.</w:t>
      </w:r>
    </w:p>
    <w:p>
      <w:pPr>
        <w:spacing w:after="0" w:line="62" w:lineRule="exact"/>
        <w:rPr>
          <w:rFonts w:ascii="Arial" w:cs="Arial" w:eastAsia="Arial" w:hAnsi="Arial"/>
          <w:sz w:val="18"/>
          <w:szCs w:val="18"/>
          <w:b w:val="1"/>
          <w:bCs w:val="1"/>
          <w:i w:val="1"/>
          <w:iCs w:val="1"/>
          <w:color w:val="auto"/>
        </w:rPr>
      </w:pPr>
    </w:p>
    <w:p>
      <w:pPr>
        <w:ind w:left="62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On October 10, 2013, the Company granted 8,580,000 and 5,500,000 share options to its employees and executives with exercise prices of $0.1404 per share, which has a vesting period of 4 years.</w:t>
      </w:r>
    </w:p>
    <w:p>
      <w:pPr>
        <w:spacing w:after="0" w:line="62" w:lineRule="exact"/>
        <w:rPr>
          <w:rFonts w:ascii="Arial" w:cs="Arial" w:eastAsia="Arial" w:hAnsi="Arial"/>
          <w:sz w:val="18"/>
          <w:szCs w:val="18"/>
          <w:b w:val="1"/>
          <w:bCs w:val="1"/>
          <w:i w:val="1"/>
          <w:iCs w:val="1"/>
          <w:color w:val="auto"/>
        </w:rPr>
      </w:pP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summarizes information regarding the stock options granted:</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color w:val="auto"/>
              </w:rPr>
              <w:t>For the years ended December 31,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Weighted average</w:t>
            </w: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89"/>
              </w:rPr>
              <w:t>Weighted average</w:t>
            </w:r>
          </w:p>
        </w:tc>
        <w:tc>
          <w:tcPr>
            <w:tcW w:w="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7"/>
              </w:rPr>
              <w:t>Weighted average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3"/>
              <w:spacing w:after="0" w:line="149" w:lineRule="exact"/>
              <w:rPr>
                <w:sz w:val="20"/>
                <w:szCs w:val="20"/>
                <w:color w:val="auto"/>
              </w:rPr>
            </w:pPr>
            <w:r>
              <w:rPr>
                <w:rFonts w:ascii="Arial" w:cs="Arial" w:eastAsia="Arial" w:hAnsi="Arial"/>
                <w:sz w:val="14"/>
                <w:szCs w:val="14"/>
                <w:color w:val="auto"/>
                <w:w w:val="94"/>
              </w:rPr>
              <w:t>fair value</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Weighted 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fair value</w:t>
            </w: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Arial" w:cs="Arial" w:eastAsia="Arial" w:hAnsi="Arial"/>
                <w:sz w:val="14"/>
                <w:szCs w:val="14"/>
                <w:color w:val="auto"/>
                <w:w w:val="90"/>
              </w:rPr>
              <w:t>exercise price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3"/>
              <w:spacing w:after="0" w:line="149" w:lineRule="exact"/>
              <w:rPr>
                <w:sz w:val="20"/>
                <w:szCs w:val="20"/>
                <w:color w:val="auto"/>
              </w:rPr>
            </w:pPr>
            <w:r>
              <w:rPr>
                <w:rFonts w:ascii="Arial" w:cs="Arial" w:eastAsia="Arial" w:hAnsi="Arial"/>
                <w:sz w:val="14"/>
                <w:szCs w:val="14"/>
                <w:color w:val="auto"/>
                <w:w w:val="93"/>
              </w:rPr>
              <w:t>per option</w:t>
            </w:r>
          </w:p>
        </w:tc>
        <w:tc>
          <w:tcPr>
            <w:tcW w:w="4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42"/>
              <w:spacing w:after="0" w:line="149" w:lineRule="exact"/>
              <w:rPr>
                <w:sz w:val="20"/>
                <w:szCs w:val="20"/>
                <w:color w:val="auto"/>
              </w:rPr>
            </w:pPr>
            <w:r>
              <w:rPr>
                <w:rFonts w:ascii="Arial" w:cs="Arial" w:eastAsia="Arial" w:hAnsi="Arial"/>
                <w:sz w:val="14"/>
                <w:szCs w:val="14"/>
                <w:color w:val="auto"/>
                <w:w w:val="92"/>
              </w:rPr>
              <w:t>exercise price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per option</w:t>
            </w:r>
          </w:p>
        </w:tc>
      </w:tr>
      <w:tr>
        <w:trPr>
          <w:trHeight w:val="167"/>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options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color w:val="auto"/>
                <w:w w:val="93"/>
              </w:rPr>
              <w:t>per option</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3"/>
              <w:spacing w:after="0"/>
              <w:rPr>
                <w:sz w:val="20"/>
                <w:szCs w:val="20"/>
                <w:color w:val="auto"/>
              </w:rPr>
            </w:pPr>
            <w:r>
              <w:rPr>
                <w:rFonts w:ascii="Arial" w:cs="Arial" w:eastAsia="Arial" w:hAnsi="Arial"/>
                <w:sz w:val="14"/>
                <w:szCs w:val="14"/>
                <w:color w:val="auto"/>
                <w:w w:val="91"/>
              </w:rPr>
              <w:t>at grant date</w:t>
            </w:r>
          </w:p>
        </w:tc>
        <w:tc>
          <w:tcPr>
            <w:tcW w:w="4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options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color w:val="auto"/>
              </w:rPr>
              <w:t>per option</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at grant date</w:t>
            </w:r>
          </w:p>
        </w:tc>
      </w:tr>
      <w:tr>
        <w:trPr>
          <w:trHeight w:val="196"/>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beginning of year</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9,150,000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0.0327</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Granted</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9,150,000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0.0327</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0.1600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14,080,000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0.1404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0.2939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Forfeited</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end of year</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9,150,000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23,230,000</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0.0980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0.2412</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280"/>
        <w:spacing w:after="0" w:line="342" w:lineRule="auto"/>
        <w:rPr>
          <w:sz w:val="20"/>
          <w:szCs w:val="20"/>
          <w:color w:val="auto"/>
        </w:rPr>
      </w:pPr>
      <w:r>
        <w:rPr>
          <w:rFonts w:ascii="Arial" w:cs="Arial" w:eastAsia="Arial" w:hAnsi="Arial"/>
          <w:sz w:val="16"/>
          <w:szCs w:val="16"/>
          <w:color w:val="auto"/>
        </w:rPr>
        <w:t>There were 2,287,500 vested options, and 20,942,500 options expected to vest as of December 31, 2013. For options expected to vest, the weighted-average exercise price is $0.1051 and aggregate intrinsic value is $1,775 and $7,227 as of December 31, 2012 and 2013, respectively.</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information with respect to share options outstanding as of December 31, 2013:</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4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4"/>
                <w:szCs w:val="14"/>
                <w:color w:val="auto"/>
              </w:rPr>
              <w:t>Options outstanding</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Options exercisable</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3"/>
        </w:trPr>
        <w:tc>
          <w:tcPr>
            <w:tcW w:w="2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jc w:val="right"/>
              <w:spacing w:after="0" w:line="123" w:lineRule="exact"/>
              <w:rPr>
                <w:sz w:val="20"/>
                <w:szCs w:val="20"/>
                <w:color w:val="auto"/>
              </w:rPr>
            </w:pPr>
            <w:r>
              <w:rPr>
                <w:rFonts w:ascii="Arial" w:cs="Arial" w:eastAsia="Arial" w:hAnsi="Arial"/>
                <w:sz w:val="14"/>
                <w:szCs w:val="14"/>
                <w:color w:val="auto"/>
                <w:w w:val="89"/>
              </w:rPr>
              <w:t>Weighted average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4"/>
              </w:rPr>
              <w:t>Aggregate intrinsic</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4"/>
              </w:rPr>
              <w:t>Aggregate intrinsic</w:t>
            </w:r>
          </w:p>
        </w:tc>
        <w:tc>
          <w:tcPr>
            <w:tcW w:w="80" w:type="dxa"/>
            <w:vAlign w:val="bottom"/>
          </w:tcPr>
          <w:p>
            <w:pPr>
              <w:spacing w:after="0"/>
              <w:rPr>
                <w:sz w:val="10"/>
                <w:szCs w:val="10"/>
                <w:color w:val="auto"/>
              </w:rPr>
            </w:pPr>
          </w:p>
        </w:tc>
      </w:tr>
      <w:tr>
        <w:trPr>
          <w:trHeight w:val="149"/>
        </w:trPr>
        <w:tc>
          <w:tcPr>
            <w:tcW w:w="2440" w:type="dxa"/>
            <w:vAlign w:val="bottom"/>
          </w:tcPr>
          <w:p>
            <w:pPr>
              <w:spacing w:after="0"/>
              <w:rPr>
                <w:sz w:val="12"/>
                <w:szCs w:val="12"/>
                <w:color w:val="auto"/>
              </w:rPr>
            </w:pPr>
          </w:p>
        </w:tc>
        <w:tc>
          <w:tcPr>
            <w:tcW w:w="760" w:type="dxa"/>
            <w:vAlign w:val="bottom"/>
          </w:tcPr>
          <w:p>
            <w:pPr>
              <w:jc w:val="right"/>
              <w:ind w:right="63"/>
              <w:spacing w:after="0" w:line="149" w:lineRule="exact"/>
              <w:rPr>
                <w:sz w:val="20"/>
                <w:szCs w:val="20"/>
                <w:color w:val="auto"/>
              </w:rPr>
            </w:pPr>
            <w:r>
              <w:rPr>
                <w:rFonts w:ascii="Arial" w:cs="Arial" w:eastAsia="Arial" w:hAnsi="Arial"/>
                <w:sz w:val="14"/>
                <w:szCs w:val="14"/>
                <w:color w:val="auto"/>
              </w:rPr>
              <w:t>Number</w:t>
            </w:r>
          </w:p>
        </w:tc>
        <w:tc>
          <w:tcPr>
            <w:tcW w:w="360" w:type="dxa"/>
            <w:vAlign w:val="bottom"/>
          </w:tcPr>
          <w:p>
            <w:pPr>
              <w:spacing w:after="0"/>
              <w:rPr>
                <w:sz w:val="12"/>
                <w:szCs w:val="12"/>
                <w:color w:val="auto"/>
              </w:rPr>
            </w:pPr>
          </w:p>
        </w:tc>
        <w:tc>
          <w:tcPr>
            <w:tcW w:w="1040" w:type="dxa"/>
            <w:vAlign w:val="bottom"/>
          </w:tcPr>
          <w:p>
            <w:pPr>
              <w:jc w:val="right"/>
              <w:ind w:right="165"/>
              <w:spacing w:after="0" w:line="149" w:lineRule="exact"/>
              <w:rPr>
                <w:sz w:val="20"/>
                <w:szCs w:val="20"/>
                <w:color w:val="auto"/>
              </w:rPr>
            </w:pPr>
            <w:r>
              <w:rPr>
                <w:rFonts w:ascii="Arial" w:cs="Arial" w:eastAsia="Arial" w:hAnsi="Arial"/>
                <w:sz w:val="14"/>
                <w:szCs w:val="14"/>
                <w:color w:val="auto"/>
              </w:rPr>
              <w:t>remaining</w:t>
            </w:r>
          </w:p>
        </w:tc>
        <w:tc>
          <w:tcPr>
            <w:tcW w:w="3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Exercise price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81"/>
              <w:spacing w:after="0" w:line="149" w:lineRule="exact"/>
              <w:rPr>
                <w:sz w:val="20"/>
                <w:szCs w:val="20"/>
                <w:color w:val="auto"/>
              </w:rPr>
            </w:pPr>
            <w:r>
              <w:rPr>
                <w:rFonts w:ascii="Arial" w:cs="Arial" w:eastAsia="Arial" w:hAnsi="Arial"/>
                <w:sz w:val="14"/>
                <w:szCs w:val="14"/>
                <w:color w:val="auto"/>
              </w:rPr>
              <w:t>value as of</w:t>
            </w: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3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90"/>
              </w:rPr>
              <w:t>Exercise price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value as of</w:t>
            </w:r>
          </w:p>
        </w:tc>
      </w:tr>
      <w:tr>
        <w:trPr>
          <w:trHeight w:val="167"/>
        </w:trPr>
        <w:tc>
          <w:tcPr>
            <w:tcW w:w="2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6"/>
              </w:rPr>
              <w:t>outstanding</w:t>
            </w: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w w:val="95"/>
              </w:rPr>
              <w:t>contractual term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2"/>
              <w:spacing w:after="0"/>
              <w:rPr>
                <w:sz w:val="20"/>
                <w:szCs w:val="20"/>
                <w:color w:val="auto"/>
              </w:rPr>
            </w:pPr>
            <w:r>
              <w:rPr>
                <w:rFonts w:ascii="Arial" w:cs="Arial" w:eastAsia="Arial" w:hAnsi="Arial"/>
                <w:sz w:val="14"/>
                <w:szCs w:val="14"/>
                <w:color w:val="auto"/>
                <w:w w:val="96"/>
              </w:rPr>
              <w:t>per option</w:t>
            </w:r>
          </w:p>
        </w:tc>
        <w:tc>
          <w:tcPr>
            <w:tcW w:w="3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w w:val="91"/>
              </w:rPr>
              <w:t>December 31, 2013</w:t>
            </w:r>
          </w:p>
        </w:tc>
        <w:tc>
          <w:tcPr>
            <w:tcW w:w="3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exercisable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Arial" w:cs="Arial" w:eastAsia="Arial" w:hAnsi="Arial"/>
                <w:sz w:val="14"/>
                <w:szCs w:val="14"/>
                <w:color w:val="auto"/>
                <w:w w:val="93"/>
              </w:rPr>
              <w:t>per option</w:t>
            </w:r>
          </w:p>
        </w:tc>
        <w:tc>
          <w:tcPr>
            <w:tcW w:w="3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w w:val="95"/>
              </w:rPr>
              <w:t>December 31, 2013</w:t>
            </w:r>
          </w:p>
        </w:tc>
      </w:tr>
      <w:tr>
        <w:trPr>
          <w:trHeight w:val="196"/>
        </w:trPr>
        <w:tc>
          <w:tcPr>
            <w:tcW w:w="24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November 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9,150,000</w:t>
            </w:r>
          </w:p>
        </w:tc>
        <w:tc>
          <w:tcPr>
            <w:tcW w:w="3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 years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0.0327</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3,820</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2,287,500</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0.0327</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82"/>
              </w:rPr>
              <w:t>955</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440" w:type="dxa"/>
            <w:vAlign w:val="bottom"/>
          </w:tcPr>
          <w:p>
            <w:pPr>
              <w:ind w:left="320"/>
              <w:spacing w:after="0"/>
              <w:rPr>
                <w:sz w:val="20"/>
                <w:szCs w:val="20"/>
                <w:color w:val="auto"/>
              </w:rPr>
            </w:pPr>
            <w:r>
              <w:rPr>
                <w:rFonts w:ascii="Arial" w:cs="Arial" w:eastAsia="Arial" w:hAnsi="Arial"/>
                <w:sz w:val="16"/>
                <w:szCs w:val="16"/>
                <w:color w:val="auto"/>
              </w:rPr>
              <w:t>October 10, 2013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14,080,000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9.78 years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0.1404</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w:t>
            </w:r>
          </w:p>
        </w:tc>
        <w:tc>
          <w:tcPr>
            <w:tcW w:w="340" w:type="dxa"/>
            <w:vAlign w:val="bottom"/>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03"/>
        </w:trPr>
        <w:tc>
          <w:tcPr>
            <w:tcW w:w="2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23,230,000</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8,182</w:t>
            </w:r>
          </w:p>
        </w:tc>
        <w:tc>
          <w:tcPr>
            <w:tcW w:w="1040" w:type="dxa"/>
            <w:vAlign w:val="bottom"/>
            <w:gridSpan w:val="2"/>
            <w:shd w:val="clear" w:color="auto" w:fill="CCEEFF"/>
          </w:tcPr>
          <w:p>
            <w:pPr>
              <w:jc w:val="center"/>
              <w:ind w:left="299"/>
              <w:spacing w:after="0"/>
              <w:rPr>
                <w:sz w:val="20"/>
                <w:szCs w:val="20"/>
                <w:color w:val="auto"/>
              </w:rPr>
            </w:pPr>
            <w:r>
              <w:rPr>
                <w:rFonts w:ascii="Arial" w:cs="Arial" w:eastAsia="Arial" w:hAnsi="Arial"/>
                <w:sz w:val="16"/>
                <w:szCs w:val="16"/>
                <w:color w:val="auto"/>
                <w:w w:val="92"/>
              </w:rPr>
              <w:t>2,287,500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2"/>
              </w:rPr>
              <w:t>955</w:t>
            </w:r>
          </w:p>
        </w:tc>
        <w:tc>
          <w:tcPr>
            <w:tcW w:w="80" w:type="dxa"/>
            <w:vAlign w:val="bottom"/>
            <w:shd w:val="clear" w:color="auto" w:fill="CCEEFF"/>
          </w:tcPr>
          <w:p>
            <w:pPr>
              <w:spacing w:after="0"/>
              <w:rPr>
                <w:sz w:val="17"/>
                <w:szCs w:val="17"/>
                <w:color w:val="auto"/>
              </w:rPr>
            </w:pPr>
          </w:p>
        </w:tc>
      </w:tr>
      <w:tr>
        <w:trPr>
          <w:trHeight w:val="20"/>
        </w:trPr>
        <w:tc>
          <w:tcPr>
            <w:tcW w:w="2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The fair value of each option granted was estimated on the date of grant using the binomial tree pricing model with the following assumptions used for grants during the applicable periods:</w:t>
      </w:r>
    </w:p>
    <w:p>
      <w:pPr>
        <w:spacing w:after="0" w:line="18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color w:val="auto"/>
                <w:w w:val="94"/>
              </w:rPr>
              <w:t>Risk-free interest</w:t>
            </w:r>
          </w:p>
        </w:tc>
        <w:tc>
          <w:tcPr>
            <w:tcW w:w="1300" w:type="dxa"/>
            <w:vAlign w:val="bottom"/>
            <w:gridSpan w:val="2"/>
          </w:tcPr>
          <w:p>
            <w:pPr>
              <w:jc w:val="right"/>
              <w:ind w:right="620"/>
              <w:spacing w:after="0"/>
              <w:rPr>
                <w:sz w:val="20"/>
                <w:szCs w:val="20"/>
                <w:color w:val="auto"/>
              </w:rPr>
            </w:pPr>
            <w:r>
              <w:rPr>
                <w:rFonts w:ascii="Arial" w:cs="Arial" w:eastAsia="Arial" w:hAnsi="Arial"/>
                <w:sz w:val="14"/>
                <w:szCs w:val="14"/>
                <w:color w:val="auto"/>
                <w:w w:val="92"/>
              </w:rPr>
              <w:t>Contractual</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rate of return</w:t>
            </w:r>
          </w:p>
        </w:tc>
        <w:tc>
          <w:tcPr>
            <w:tcW w:w="7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term</w:t>
            </w:r>
          </w:p>
        </w:tc>
        <w:tc>
          <w:tcPr>
            <w:tcW w:w="6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Volatility</w:t>
            </w:r>
          </w:p>
        </w:tc>
        <w:tc>
          <w:tcPr>
            <w:tcW w:w="7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Dividend yield</w:t>
            </w:r>
          </w:p>
        </w:tc>
        <w:tc>
          <w:tcPr>
            <w:tcW w:w="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89"/>
              </w:rPr>
              <w:t>Exercise Price</w:t>
            </w:r>
          </w:p>
        </w:tc>
        <w:tc>
          <w:tcPr>
            <w:tcW w:w="80" w:type="dxa"/>
            <w:vAlign w:val="bottom"/>
            <w:tcBorders>
              <w:bottom w:val="single" w:sz="8" w:color="CCEEFF"/>
            </w:tcBorders>
          </w:tcPr>
          <w:p>
            <w:pPr>
              <w:spacing w:after="0"/>
              <w:rPr>
                <w:sz w:val="14"/>
                <w:szCs w:val="14"/>
                <w:color w:val="auto"/>
              </w:rPr>
            </w:pPr>
          </w:p>
        </w:tc>
      </w:tr>
      <w:tr>
        <w:trPr>
          <w:trHeight w:val="196"/>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November 1, 2012</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2.31%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years</w:t>
            </w:r>
          </w:p>
        </w:tc>
        <w:tc>
          <w:tcPr>
            <w:tcW w:w="6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61.7%</w:t>
            </w:r>
          </w:p>
        </w:tc>
        <w:tc>
          <w:tcPr>
            <w:tcW w:w="8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0.0327</w:t>
            </w:r>
          </w:p>
        </w:tc>
        <w:tc>
          <w:tcPr>
            <w:tcW w:w="80" w:type="dxa"/>
            <w:vAlign w:val="bottom"/>
            <w:shd w:val="clear" w:color="auto" w:fill="CCEEFF"/>
          </w:tcPr>
          <w:p>
            <w:pPr>
              <w:spacing w:after="0"/>
              <w:rPr>
                <w:sz w:val="17"/>
                <w:szCs w:val="17"/>
                <w:color w:val="auto"/>
              </w:rPr>
            </w:pPr>
          </w:p>
        </w:tc>
      </w:tr>
      <w:tr>
        <w:trPr>
          <w:trHeight w:val="206"/>
        </w:trPr>
        <w:tc>
          <w:tcPr>
            <w:tcW w:w="4420" w:type="dxa"/>
            <w:vAlign w:val="bottom"/>
          </w:tcPr>
          <w:p>
            <w:pPr>
              <w:spacing w:after="0"/>
              <w:rPr>
                <w:sz w:val="20"/>
                <w:szCs w:val="20"/>
                <w:color w:val="auto"/>
              </w:rPr>
            </w:pPr>
            <w:r>
              <w:rPr>
                <w:rFonts w:ascii="Arial" w:cs="Arial" w:eastAsia="Arial" w:hAnsi="Arial"/>
                <w:sz w:val="16"/>
                <w:szCs w:val="16"/>
                <w:color w:val="auto"/>
              </w:rPr>
              <w:t>October 10, 2013</w:t>
            </w:r>
          </w:p>
        </w:tc>
        <w:tc>
          <w:tcPr>
            <w:tcW w:w="1700" w:type="dxa"/>
            <w:vAlign w:val="bottom"/>
            <w:gridSpan w:val="2"/>
          </w:tcPr>
          <w:p>
            <w:pPr>
              <w:jc w:val="right"/>
              <w:ind w:right="560"/>
              <w:spacing w:after="0"/>
              <w:rPr>
                <w:sz w:val="20"/>
                <w:szCs w:val="20"/>
                <w:color w:val="auto"/>
              </w:rPr>
            </w:pPr>
            <w:r>
              <w:rPr>
                <w:rFonts w:ascii="Arial" w:cs="Arial" w:eastAsia="Arial" w:hAnsi="Arial"/>
                <w:sz w:val="16"/>
                <w:szCs w:val="16"/>
                <w:color w:val="auto"/>
              </w:rPr>
              <w:t>3.09%</w:t>
            </w:r>
          </w:p>
        </w:tc>
        <w:tc>
          <w:tcPr>
            <w:tcW w:w="1300" w:type="dxa"/>
            <w:vAlign w:val="bottom"/>
            <w:gridSpan w:val="2"/>
          </w:tcPr>
          <w:p>
            <w:pPr>
              <w:jc w:val="right"/>
              <w:ind w:right="620"/>
              <w:spacing w:after="0"/>
              <w:rPr>
                <w:sz w:val="20"/>
                <w:szCs w:val="20"/>
                <w:color w:val="auto"/>
              </w:rPr>
            </w:pPr>
            <w:r>
              <w:rPr>
                <w:rFonts w:ascii="Arial" w:cs="Arial" w:eastAsia="Arial" w:hAnsi="Arial"/>
                <w:sz w:val="16"/>
                <w:szCs w:val="16"/>
                <w:color w:val="auto"/>
              </w:rPr>
              <w:t>10 years</w:t>
            </w:r>
          </w:p>
        </w:tc>
        <w:tc>
          <w:tcPr>
            <w:tcW w:w="1240" w:type="dxa"/>
            <w:vAlign w:val="bottom"/>
            <w:gridSpan w:val="2"/>
          </w:tcPr>
          <w:p>
            <w:pPr>
              <w:jc w:val="right"/>
              <w:ind w:right="560"/>
              <w:spacing w:after="0"/>
              <w:rPr>
                <w:sz w:val="20"/>
                <w:szCs w:val="20"/>
                <w:color w:val="auto"/>
              </w:rPr>
            </w:pPr>
            <w:r>
              <w:rPr>
                <w:rFonts w:ascii="Arial" w:cs="Arial" w:eastAsia="Arial" w:hAnsi="Arial"/>
                <w:sz w:val="16"/>
                <w:szCs w:val="16"/>
                <w:color w:val="auto"/>
              </w:rPr>
              <w:t>54.4%</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0.1404</w:t>
            </w:r>
          </w:p>
        </w:tc>
        <w:tc>
          <w:tcPr>
            <w:tcW w:w="80" w:type="dxa"/>
            <w:vAlign w:val="bottom"/>
          </w:tcPr>
          <w:p>
            <w:pPr>
              <w:spacing w:after="0"/>
              <w:rPr>
                <w:sz w:val="17"/>
                <w:szCs w:val="17"/>
                <w:color w:val="auto"/>
              </w:rPr>
            </w:pPr>
          </w:p>
        </w:tc>
      </w:tr>
    </w:tbl>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7000" w:hanging="452"/>
        <w:spacing w:after="0" w:line="454" w:lineRule="auto"/>
        <w:tabs>
          <w:tab w:leader="none" w:pos="449"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 continued </w:t>
      </w:r>
      <w:r>
        <w:rPr>
          <w:rFonts w:ascii="Arial" w:cs="Arial" w:eastAsia="Arial" w:hAnsi="Arial"/>
          <w:sz w:val="18"/>
          <w:szCs w:val="18"/>
          <w:b w:val="1"/>
          <w:bCs w:val="1"/>
          <w:i w:val="1"/>
          <w:iCs w:val="1"/>
          <w:color w:val="auto"/>
        </w:rPr>
        <w:t xml:space="preserve">I. Share options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(1) Risk-free interest rate</w:t>
      </w:r>
    </w:p>
    <w:p>
      <w:pPr>
        <w:spacing w:after="0" w:line="117" w:lineRule="exact"/>
        <w:rPr>
          <w:sz w:val="20"/>
          <w:szCs w:val="20"/>
          <w:color w:val="auto"/>
        </w:rPr>
      </w:pPr>
    </w:p>
    <w:p>
      <w:pPr>
        <w:ind w:left="620" w:right="220"/>
        <w:spacing w:after="0" w:line="277" w:lineRule="auto"/>
        <w:rPr>
          <w:sz w:val="20"/>
          <w:szCs w:val="20"/>
          <w:color w:val="auto"/>
        </w:rPr>
      </w:pPr>
      <w:r>
        <w:rPr>
          <w:rFonts w:ascii="Arial" w:cs="Arial" w:eastAsia="Arial" w:hAnsi="Arial"/>
          <w:sz w:val="18"/>
          <w:szCs w:val="18"/>
          <w:color w:val="auto"/>
        </w:rPr>
        <w:t>Risk-free interest rate was estimated based on the yield to maturity of China international government bonds with a maturity period close to the expected term of the options.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(2) Contractual term</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used the original contractual term.</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(3) Volatility</w:t>
      </w:r>
    </w:p>
    <w:p>
      <w:pPr>
        <w:spacing w:after="0" w:line="117" w:lineRule="exact"/>
        <w:rPr>
          <w:sz w:val="20"/>
          <w:szCs w:val="20"/>
          <w:color w:val="auto"/>
        </w:rPr>
      </w:pPr>
    </w:p>
    <w:p>
      <w:pPr>
        <w:ind w:left="620" w:right="600"/>
        <w:spacing w:after="0" w:line="277" w:lineRule="auto"/>
        <w:rPr>
          <w:sz w:val="20"/>
          <w:szCs w:val="20"/>
          <w:color w:val="auto"/>
        </w:rPr>
      </w:pPr>
      <w:r>
        <w:rPr>
          <w:rFonts w:ascii="Arial" w:cs="Arial" w:eastAsia="Arial" w:hAnsi="Arial"/>
          <w:sz w:val="18"/>
          <w:szCs w:val="18"/>
          <w:color w:val="auto"/>
        </w:rPr>
        <w:t>The volatility of the underlying ordinary shares during the life of the options was estimated based on the historical stock price volatility of comparable listed companies over a period comparable to the expected term of the options.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(4) Dividend yield</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dividend yield was estimated by the Group based on its expected dividend policy over the expected term of the options.</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(5) Exercise price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exercise price of the options was determined by the Group’s board of directors.</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(6) Fair value of underlying ordinary shares</w:t>
      </w:r>
    </w:p>
    <w:p>
      <w:pPr>
        <w:spacing w:after="0" w:line="117" w:lineRule="exact"/>
        <w:rPr>
          <w:sz w:val="20"/>
          <w:szCs w:val="20"/>
          <w:color w:val="auto"/>
        </w:rPr>
      </w:pPr>
    </w:p>
    <w:p>
      <w:pPr>
        <w:ind w:left="620" w:right="300"/>
        <w:spacing w:after="0" w:line="277" w:lineRule="auto"/>
        <w:rPr>
          <w:sz w:val="20"/>
          <w:szCs w:val="20"/>
          <w:color w:val="auto"/>
        </w:rPr>
      </w:pPr>
      <w:r>
        <w:rPr>
          <w:rFonts w:ascii="Arial" w:cs="Arial" w:eastAsia="Arial" w:hAnsi="Arial"/>
          <w:sz w:val="18"/>
          <w:szCs w:val="18"/>
          <w:color w:val="auto"/>
        </w:rPr>
        <w:t>The estimated fair value of the ordinary shares underlying the options as of the respective grant dates was determined based on a retrospective valuation, which used management’s best estimate for projected cash flows as of each valuation date.</w:t>
      </w:r>
    </w:p>
    <w:p>
      <w:pPr>
        <w:spacing w:after="0" w:line="62" w:lineRule="exact"/>
        <w:rPr>
          <w:sz w:val="20"/>
          <w:szCs w:val="20"/>
          <w:color w:val="auto"/>
        </w:rPr>
      </w:pPr>
    </w:p>
    <w:p>
      <w:pPr>
        <w:ind w:left="620"/>
        <w:spacing w:after="0" w:line="264" w:lineRule="auto"/>
        <w:rPr>
          <w:sz w:val="20"/>
          <w:szCs w:val="20"/>
          <w:color w:val="auto"/>
        </w:rPr>
      </w:pPr>
      <w:r>
        <w:rPr>
          <w:rFonts w:ascii="Arial" w:cs="Arial" w:eastAsia="Arial" w:hAnsi="Arial"/>
          <w:sz w:val="18"/>
          <w:szCs w:val="18"/>
          <w:color w:val="auto"/>
        </w:rPr>
        <w:t>For employee stock options, the Group recorded share-based compensation of $56 and $586 during the years ended December 31, 2012 and 2013, respectively, based on the fair value on the grant dates over the requisite service period of award according to the vesting schedule for employee share option.</w:t>
      </w:r>
    </w:p>
    <w:p>
      <w:pPr>
        <w:spacing w:after="0" w:line="73" w:lineRule="exact"/>
        <w:rPr>
          <w:sz w:val="20"/>
          <w:szCs w:val="20"/>
          <w:color w:val="auto"/>
        </w:rPr>
      </w:pPr>
    </w:p>
    <w:p>
      <w:pPr>
        <w:ind w:left="620" w:right="420"/>
        <w:spacing w:after="0" w:line="308" w:lineRule="auto"/>
        <w:rPr>
          <w:sz w:val="20"/>
          <w:szCs w:val="20"/>
          <w:color w:val="auto"/>
        </w:rPr>
      </w:pPr>
      <w:r>
        <w:rPr>
          <w:rFonts w:ascii="Arial" w:cs="Arial" w:eastAsia="Arial" w:hAnsi="Arial"/>
          <w:sz w:val="17"/>
          <w:szCs w:val="17"/>
          <w:color w:val="auto"/>
        </w:rPr>
        <w:t>For non-employee options the Group recorded share-based compensation of $1 and $9 during the years ended December 31, 2012 and 2013, respectively, based on the fair value at the commitment date and recognized over the period the service is provided.</w:t>
      </w:r>
    </w:p>
    <w:p>
      <w:pPr>
        <w:spacing w:after="0" w:line="38"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As of December 31, 2013, total unrecognized compensation expense relating to unvested share options was $4,775, which will be recognized over 3.58 years. The weighted-average remaining contractual term of options outstanding is 9.41 years.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II. Non-vested restricted shares</w:t>
      </w:r>
    </w:p>
    <w:p>
      <w:pPr>
        <w:spacing w:after="0" w:line="117" w:lineRule="exact"/>
        <w:rPr>
          <w:sz w:val="20"/>
          <w:szCs w:val="20"/>
          <w:color w:val="auto"/>
        </w:rPr>
      </w:pPr>
    </w:p>
    <w:p>
      <w:pPr>
        <w:jc w:val="both"/>
        <w:ind w:left="620" w:right="20"/>
        <w:spacing w:after="0" w:line="264" w:lineRule="auto"/>
        <w:rPr>
          <w:sz w:val="20"/>
          <w:szCs w:val="20"/>
          <w:color w:val="auto"/>
        </w:rPr>
      </w:pPr>
      <w:r>
        <w:rPr>
          <w:rFonts w:ascii="Arial" w:cs="Arial" w:eastAsia="Arial" w:hAnsi="Arial"/>
          <w:sz w:val="18"/>
          <w:szCs w:val="18"/>
          <w:color w:val="auto"/>
        </w:rPr>
        <w:t>In April 2012, the Company’s four founding shareholders entered into an arrangement with the investor in conjunction with the issuance of Series A preferred shares and Series B preferred shares, whereby all of their 147,000,000 ordinary shares (“Founders’ shares”) became subject to service and transfer restrictions.</w:t>
      </w:r>
    </w:p>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60"/>
          </w:cols>
          <w:pgMar w:left="240" w:top="460" w:right="4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right="7080" w:hanging="452"/>
        <w:spacing w:after="0" w:line="495" w:lineRule="auto"/>
        <w:tabs>
          <w:tab w:leader="none" w:pos="449"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 continued </w:t>
      </w:r>
      <w:r>
        <w:rPr>
          <w:rFonts w:ascii="Arial" w:cs="Arial" w:eastAsia="Arial" w:hAnsi="Arial"/>
          <w:sz w:val="17"/>
          <w:szCs w:val="17"/>
          <w:b w:val="1"/>
          <w:bCs w:val="1"/>
          <w:i w:val="1"/>
          <w:iCs w:val="1"/>
          <w:color w:val="auto"/>
        </w:rPr>
        <w:t xml:space="preserve">II. Non-vested restricted shares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continued</w:t>
      </w:r>
    </w:p>
    <w:p>
      <w:pPr>
        <w:spacing w:after="0" w:line="103" w:lineRule="exact"/>
        <w:rPr>
          <w:sz w:val="20"/>
          <w:szCs w:val="20"/>
          <w:color w:val="auto"/>
        </w:rPr>
      </w:pPr>
    </w:p>
    <w:p>
      <w:pPr>
        <w:ind w:left="620"/>
        <w:spacing w:after="0" w:line="293" w:lineRule="auto"/>
        <w:rPr>
          <w:sz w:val="20"/>
          <w:szCs w:val="20"/>
          <w:color w:val="auto"/>
        </w:rPr>
      </w:pPr>
      <w:r>
        <w:rPr>
          <w:rFonts w:ascii="Arial" w:cs="Arial" w:eastAsia="Arial" w:hAnsi="Arial"/>
          <w:sz w:val="16"/>
          <w:szCs w:val="16"/>
          <w:color w:val="auto"/>
        </w:rPr>
        <w:t>Such Founders’ shares are subject to repurchase by the Company upon early termination of their four years of employment. The repurchase price is the par value of the ordinary shares. 25% of the Founders’ shares shall be vested annually. The restricted share agreements were subsequently amended on June 11, 2012 and July 18, 2012, respectively. Pursuant to the agreements, 25% of the Founders’ shares shall vest upon the closing of issuance of Series B preferred shares and the remaining 75% shall be vested monthly in equal installments over the next 36 months. This arrangement has been accounted for as a grant of restricted stock awards subject to service vesting conditions. Because the modification does not affect any of the other terms or conditions of the award, presumably the fair value before and after the modification is the same.</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summary of non-vested restricted share activity during the years ended December 31, 2012 and 2013 is presented below:</w:t>
      </w:r>
    </w:p>
    <w:p>
      <w:pPr>
        <w:spacing w:after="0" w:line="235"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Number</w:t>
            </w:r>
          </w:p>
        </w:tc>
      </w:tr>
      <w:tr>
        <w:trPr>
          <w:trHeight w:val="167"/>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of shares</w:t>
            </w: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2012</w:t>
            </w:r>
          </w:p>
        </w:tc>
        <w:tc>
          <w:tcPr>
            <w:tcW w:w="10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147,000,000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(52,062,500)</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2012</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94,937,500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(36,750,000)</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58,187,500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average grant date fair value of the non-vested restricted shares was $0.01 per share and the aggregated fair value was $1,470.</w:t>
      </w:r>
    </w:p>
    <w:p>
      <w:pPr>
        <w:spacing w:after="0" w:line="117"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Company recorded compensation expense of $535 and $368 during the years ended December 31, 2012 and 2013, respectively, related to non-vested restricted shares.</w:t>
      </w:r>
    </w:p>
    <w:p>
      <w:pPr>
        <w:spacing w:after="0" w:line="62" w:lineRule="exact"/>
        <w:rPr>
          <w:sz w:val="20"/>
          <w:szCs w:val="20"/>
          <w:color w:val="auto"/>
        </w:rPr>
      </w:pPr>
    </w:p>
    <w:p>
      <w:pPr>
        <w:ind w:left="620" w:right="40"/>
        <w:spacing w:after="0" w:line="277" w:lineRule="auto"/>
        <w:rPr>
          <w:sz w:val="20"/>
          <w:szCs w:val="20"/>
          <w:color w:val="auto"/>
        </w:rPr>
      </w:pPr>
      <w:r>
        <w:rPr>
          <w:rFonts w:ascii="Arial" w:cs="Arial" w:eastAsia="Arial" w:hAnsi="Arial"/>
          <w:sz w:val="18"/>
          <w:szCs w:val="18"/>
          <w:color w:val="auto"/>
        </w:rPr>
        <w:t>As of December 31, 2013, total unrecognized compensation expense relating to the non-vested restricted shares was $567. The amount is expected to be recognized over 1.55 years using the straight-line method.</w:t>
      </w:r>
    </w:p>
    <w:p>
      <w:pPr>
        <w:spacing w:after="0" w:line="315" w:lineRule="exact"/>
        <w:rPr>
          <w:sz w:val="20"/>
          <w:szCs w:val="20"/>
          <w:color w:val="auto"/>
        </w:rPr>
      </w:pPr>
    </w:p>
    <w:p>
      <w:pPr>
        <w:ind w:left="620" w:hanging="441"/>
        <w:spacing w:after="0"/>
        <w:tabs>
          <w:tab w:leader="none" w:pos="62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6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has determined that its convertible redeemable participating preferred shares are participating securities as the preferred shares participate in undistributed earnings on an as-if-converted basis. The holders of the preferred shares are entitled to receive dividends on a pro rata basis, as if their shares had been converted into ordinary shares. The Group determined that the nonvested restricted shares are participating securities as the holders of the nonvested restricted shares have a nonforfeitable right to receive dividends with all ordinary shares but the nonvested restricted shares do not have a contractual obligation to fund or otherwise absorb the Company’s losses. Accordingly, the Group uses the two-class method of computing net loss per share, for ordinary shares, nonvested restricted shares and preferred shares according to participation rights in undistributed earnings.</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 continued</w:t>
      </w:r>
    </w:p>
    <w:p>
      <w:pPr>
        <w:spacing w:after="0" w:line="3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calculation of net loss per share is as follows:</w:t>
      </w:r>
    </w:p>
    <w:p>
      <w:pPr>
        <w:spacing w:after="0" w:line="248" w:lineRule="exact"/>
        <w:rPr>
          <w:sz w:val="20"/>
          <w:szCs w:val="20"/>
          <w:color w:val="auto"/>
        </w:rPr>
      </w:pPr>
    </w:p>
    <w:tbl>
      <w:tblPr>
        <w:tblLayout w:type="fixed"/>
        <w:tblInd w:w="15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color w:val="auto"/>
                <w:w w:val="96"/>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4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4"/>
          </w:tcPr>
          <w:p>
            <w:pPr>
              <w:ind w:left="20"/>
              <w:spacing w:after="0"/>
              <w:rPr>
                <w:sz w:val="20"/>
                <w:szCs w:val="20"/>
                <w:color w:val="auto"/>
              </w:rPr>
            </w:pPr>
            <w:r>
              <w:rPr>
                <w:rFonts w:ascii="Arial" w:cs="Arial" w:eastAsia="Arial" w:hAnsi="Arial"/>
                <w:sz w:val="18"/>
                <w:szCs w:val="18"/>
                <w:color w:val="auto"/>
              </w:rPr>
              <w:t>Net loss attributable to Momo Technology Company Limited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(3,839)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5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Deemed dividend to Series A-1 and Series A-2 shares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5440" w:type="dxa"/>
            <w:vAlign w:val="bottom"/>
            <w:gridSpan w:val="4"/>
          </w:tcPr>
          <w:p>
            <w:pPr>
              <w:ind w:left="20"/>
              <w:spacing w:after="0"/>
              <w:rPr>
                <w:sz w:val="20"/>
                <w:szCs w:val="20"/>
                <w:color w:val="auto"/>
              </w:rPr>
            </w:pPr>
            <w:r>
              <w:rPr>
                <w:rFonts w:ascii="Arial" w:cs="Arial" w:eastAsia="Arial" w:hAnsi="Arial"/>
                <w:sz w:val="18"/>
                <w:szCs w:val="18"/>
                <w:color w:val="auto"/>
              </w:rPr>
              <w:t>Deemed dividend to Series A-3 shares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(265)</w:t>
            </w:r>
          </w:p>
        </w:tc>
        <w:tc>
          <w:tcPr>
            <w:tcW w:w="5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5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Deemed dividend to Series B shares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(2,465)</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(5,652)</w:t>
            </w:r>
          </w:p>
        </w:tc>
        <w:tc>
          <w:tcPr>
            <w:tcW w:w="0" w:type="dxa"/>
            <w:vAlign w:val="bottom"/>
          </w:tcPr>
          <w:p>
            <w:pPr>
              <w:spacing w:after="0"/>
              <w:rPr>
                <w:sz w:val="1"/>
                <w:szCs w:val="1"/>
                <w:color w:val="auto"/>
              </w:rPr>
            </w:pPr>
          </w:p>
        </w:tc>
      </w:tr>
      <w:tr>
        <w:trPr>
          <w:trHeight w:val="216"/>
        </w:trPr>
        <w:tc>
          <w:tcPr>
            <w:tcW w:w="5440" w:type="dxa"/>
            <w:vAlign w:val="bottom"/>
            <w:gridSpan w:val="4"/>
          </w:tcPr>
          <w:p>
            <w:pPr>
              <w:ind w:left="20"/>
              <w:spacing w:after="0"/>
              <w:rPr>
                <w:sz w:val="20"/>
                <w:szCs w:val="20"/>
                <w:color w:val="auto"/>
              </w:rPr>
            </w:pPr>
            <w:r>
              <w:rPr>
                <w:rFonts w:ascii="Arial" w:cs="Arial" w:eastAsia="Arial" w:hAnsi="Arial"/>
                <w:sz w:val="18"/>
                <w:szCs w:val="18"/>
                <w:color w:val="auto"/>
              </w:rPr>
              <w:t>Deemed dividend to Series C shares</w:t>
            </w:r>
          </w:p>
        </w:tc>
        <w:tc>
          <w:tcPr>
            <w:tcW w:w="1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5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Undistributed earnings allocated to Series A shares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gridSpan w:val="4"/>
          </w:tcPr>
          <w:p>
            <w:pPr>
              <w:ind w:left="20"/>
              <w:spacing w:after="0"/>
              <w:rPr>
                <w:sz w:val="20"/>
                <w:szCs w:val="20"/>
                <w:color w:val="auto"/>
              </w:rPr>
            </w:pPr>
            <w:r>
              <w:rPr>
                <w:rFonts w:ascii="Arial" w:cs="Arial" w:eastAsia="Arial" w:hAnsi="Arial"/>
                <w:sz w:val="18"/>
                <w:szCs w:val="18"/>
                <w:color w:val="auto"/>
              </w:rPr>
              <w:t>Undistributed earnings allocated to Series B shares</w:t>
            </w:r>
          </w:p>
        </w:tc>
        <w:tc>
          <w:tcPr>
            <w:tcW w:w="1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Undistributed earnings allocated to Series C shares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4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8"/>
              </w:rPr>
              <w:t>Undistributed earnings allocated to participating nonvested restricted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rPr>
              <w:t>shares (As Restated) (Note ii)</w:t>
            </w:r>
          </w:p>
        </w:tc>
        <w:tc>
          <w:tcPr>
            <w:tcW w:w="1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4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Net loss attributed to ordinary shareholders for computing net loss per</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ordinary share-basic and diluted (As Restated) (Note ii)</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(6,932)</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(17,446)</w:t>
            </w:r>
          </w:p>
        </w:tc>
        <w:tc>
          <w:tcPr>
            <w:tcW w:w="0" w:type="dxa"/>
            <w:vAlign w:val="bottom"/>
          </w:tcPr>
          <w:p>
            <w:pPr>
              <w:spacing w:after="0"/>
              <w:rPr>
                <w:sz w:val="1"/>
                <w:szCs w:val="1"/>
                <w:color w:val="auto"/>
              </w:rPr>
            </w:pPr>
          </w:p>
        </w:tc>
      </w:tr>
      <w:tr>
        <w:trPr>
          <w:trHeight w:val="20"/>
        </w:trPr>
        <w:tc>
          <w:tcPr>
            <w:tcW w:w="5440" w:type="dxa"/>
            <w:vAlign w:val="bottom"/>
            <w:gridSpan w:val="4"/>
            <w:vMerge w:val="restart"/>
          </w:tcPr>
          <w:p>
            <w:pPr>
              <w:ind w:left="20"/>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Denominator for computing net loss per share-basic:</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4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7"/>
              </w:rPr>
              <w:t>Weighted average ordinary shares outstanding used in computing net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rPr>
              <w:t>loss per ordinary share-basic (Note i)</w:t>
            </w:r>
          </w:p>
        </w:tc>
        <w:tc>
          <w:tcPr>
            <w:tcW w:w="18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60,103,654</w:t>
            </w:r>
          </w:p>
        </w:tc>
        <w:tc>
          <w:tcPr>
            <w:tcW w:w="5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67,190,411</w:t>
            </w:r>
          </w:p>
        </w:tc>
        <w:tc>
          <w:tcPr>
            <w:tcW w:w="0" w:type="dxa"/>
            <w:vAlign w:val="bottom"/>
          </w:tcPr>
          <w:p>
            <w:pPr>
              <w:spacing w:after="0"/>
              <w:rPr>
                <w:sz w:val="1"/>
                <w:szCs w:val="1"/>
                <w:color w:val="auto"/>
              </w:rPr>
            </w:pPr>
          </w:p>
        </w:tc>
      </w:tr>
      <w:tr>
        <w:trPr>
          <w:trHeight w:val="202"/>
        </w:trPr>
        <w:tc>
          <w:tcPr>
            <w:tcW w:w="544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Weighted average shares used in computing net loss per participating</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nonvested restricted share (Note i)</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86,896,346</w:t>
            </w: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79,809,589</w:t>
            </w:r>
          </w:p>
        </w:tc>
        <w:tc>
          <w:tcPr>
            <w:tcW w:w="0" w:type="dxa"/>
            <w:vAlign w:val="bottom"/>
          </w:tcPr>
          <w:p>
            <w:pPr>
              <w:spacing w:after="0"/>
              <w:rPr>
                <w:sz w:val="1"/>
                <w:szCs w:val="1"/>
                <w:color w:val="auto"/>
              </w:rPr>
            </w:pPr>
          </w:p>
        </w:tc>
      </w:tr>
      <w:tr>
        <w:trPr>
          <w:trHeight w:val="202"/>
        </w:trPr>
        <w:tc>
          <w:tcPr>
            <w:tcW w:w="544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4"/>
              </w:rPr>
              <w:t>Weighted average shares used in computing net income per Series A-1</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rPr>
              <w:t>and Series A-2 share</w:t>
            </w:r>
          </w:p>
        </w:tc>
        <w:tc>
          <w:tcPr>
            <w:tcW w:w="18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36,124,555</w:t>
            </w:r>
          </w:p>
        </w:tc>
        <w:tc>
          <w:tcPr>
            <w:tcW w:w="5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38,977,742</w:t>
            </w:r>
          </w:p>
        </w:tc>
        <w:tc>
          <w:tcPr>
            <w:tcW w:w="0" w:type="dxa"/>
            <w:vAlign w:val="bottom"/>
          </w:tcPr>
          <w:p>
            <w:pPr>
              <w:spacing w:after="0"/>
              <w:rPr>
                <w:sz w:val="1"/>
                <w:szCs w:val="1"/>
                <w:color w:val="auto"/>
              </w:rPr>
            </w:pPr>
          </w:p>
        </w:tc>
      </w:tr>
      <w:tr>
        <w:trPr>
          <w:trHeight w:val="202"/>
        </w:trPr>
        <w:tc>
          <w:tcPr>
            <w:tcW w:w="544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 average shares used in computing net income per Series A-3</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10,980,847</w:t>
            </w: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19,797,980</w:t>
            </w:r>
          </w:p>
        </w:tc>
        <w:tc>
          <w:tcPr>
            <w:tcW w:w="0" w:type="dxa"/>
            <w:vAlign w:val="bottom"/>
          </w:tcPr>
          <w:p>
            <w:pPr>
              <w:spacing w:after="0"/>
              <w:rPr>
                <w:sz w:val="1"/>
                <w:szCs w:val="1"/>
                <w:color w:val="auto"/>
              </w:rPr>
            </w:pPr>
          </w:p>
        </w:tc>
      </w:tr>
      <w:tr>
        <w:trPr>
          <w:trHeight w:val="202"/>
        </w:trPr>
        <w:tc>
          <w:tcPr>
            <w:tcW w:w="544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7"/>
              </w:rPr>
              <w:t>Weighted average shares used in computing net income per Series B</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28,012,996</w:t>
            </w:r>
          </w:p>
        </w:tc>
        <w:tc>
          <w:tcPr>
            <w:tcW w:w="5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69,513,767</w:t>
            </w:r>
          </w:p>
        </w:tc>
        <w:tc>
          <w:tcPr>
            <w:tcW w:w="0" w:type="dxa"/>
            <w:vAlign w:val="bottom"/>
          </w:tcPr>
          <w:p>
            <w:pPr>
              <w:spacing w:after="0"/>
              <w:rPr>
                <w:sz w:val="1"/>
                <w:szCs w:val="1"/>
                <w:color w:val="auto"/>
              </w:rPr>
            </w:pPr>
          </w:p>
        </w:tc>
      </w:tr>
      <w:tr>
        <w:trPr>
          <w:trHeight w:val="202"/>
        </w:trPr>
        <w:tc>
          <w:tcPr>
            <w:tcW w:w="544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Weighted average shares used in computing net income per Series C</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7,280,436</w:t>
            </w:r>
          </w:p>
        </w:tc>
        <w:tc>
          <w:tcPr>
            <w:tcW w:w="0" w:type="dxa"/>
            <w:vAlign w:val="bottom"/>
          </w:tcPr>
          <w:p>
            <w:pPr>
              <w:spacing w:after="0"/>
              <w:rPr>
                <w:sz w:val="1"/>
                <w:szCs w:val="1"/>
                <w:color w:val="auto"/>
              </w:rPr>
            </w:pPr>
          </w:p>
        </w:tc>
      </w:tr>
      <w:tr>
        <w:trPr>
          <w:trHeight w:val="20"/>
        </w:trPr>
        <w:tc>
          <w:tcPr>
            <w:tcW w:w="5440" w:type="dxa"/>
            <w:vAlign w:val="bottom"/>
            <w:gridSpan w:val="4"/>
            <w:vMerge w:val="restart"/>
          </w:tcPr>
          <w:p>
            <w:pPr>
              <w:ind w:left="20"/>
              <w:spacing w:after="0"/>
              <w:rPr>
                <w:sz w:val="20"/>
                <w:szCs w:val="20"/>
                <w:color w:val="auto"/>
              </w:rPr>
            </w:pPr>
            <w:r>
              <w:rPr>
                <w:rFonts w:ascii="Arial" w:cs="Arial" w:eastAsia="Arial" w:hAnsi="Arial"/>
                <w:sz w:val="18"/>
                <w:szCs w:val="18"/>
                <w:color w:val="auto"/>
              </w:rPr>
              <w:t>Denominator for computing net loss per share-diluted: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4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Weighted average shares outstanding used in computing net loss per</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ordinary shares-diluted (Note i)</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60,103,654</w:t>
            </w: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67,190,411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vMerge w:val="restart"/>
          </w:tcPr>
          <w:p>
            <w:pPr>
              <w:ind w:left="3020"/>
              <w:spacing w:after="0"/>
              <w:rPr>
                <w:sz w:val="20"/>
                <w:szCs w:val="20"/>
                <w:color w:val="auto"/>
              </w:rPr>
            </w:pPr>
            <w:r>
              <w:rPr>
                <w:rFonts w:ascii="Arial" w:cs="Arial" w:eastAsia="Arial" w:hAnsi="Arial"/>
                <w:sz w:val="18"/>
                <w:szCs w:val="18"/>
                <w:color w:val="auto"/>
              </w:rPr>
              <w:t>F-36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60" w:right="1440"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 continued</w:t>
      </w:r>
    </w:p>
    <w:p>
      <w:pPr>
        <w:spacing w:after="0" w:line="333" w:lineRule="exact"/>
        <w:rPr>
          <w:sz w:val="20"/>
          <w:szCs w:val="20"/>
          <w:color w:val="auto"/>
        </w:rPr>
      </w:pPr>
    </w:p>
    <w:tbl>
      <w:tblPr>
        <w:tblLayout w:type="fixed"/>
        <w:tblInd w:w="1500" w:type="dxa"/>
        <w:tblCellMar>
          <w:top w:w="0" w:type="dxa"/>
          <w:left w:w="0" w:type="dxa"/>
          <w:bottom w:w="0" w:type="dxa"/>
          <w:right w:w="0" w:type="dxa"/>
        </w:tblCellMar>
      </w:tblPr>
      <w:tr>
        <w:trPr>
          <w:trHeight w:val="167"/>
        </w:trPr>
        <w:tc>
          <w:tcPr>
            <w:tcW w:w="5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For the years ended 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2012</w:t>
            </w:r>
          </w:p>
        </w:tc>
        <w:tc>
          <w:tcPr>
            <w:tcW w:w="4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182"/>
        </w:trPr>
        <w:tc>
          <w:tcPr>
            <w:tcW w:w="55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Net loss per ordinary share attributable to Momo Technology Company</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30"/>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Limited-basic (As Restated) (Note ii)</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(0.12)</w:t>
            </w: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(0.26)</w:t>
            </w:r>
          </w:p>
        </w:tc>
      </w:tr>
      <w:tr>
        <w:trPr>
          <w:trHeight w:val="202"/>
        </w:trPr>
        <w:tc>
          <w:tcPr>
            <w:tcW w:w="5540" w:type="dxa"/>
            <w:vAlign w:val="bottom"/>
          </w:tcPr>
          <w:p>
            <w:pPr>
              <w:ind w:left="20"/>
              <w:spacing w:after="0" w:line="201" w:lineRule="exact"/>
              <w:rPr>
                <w:sz w:val="20"/>
                <w:szCs w:val="20"/>
                <w:color w:val="auto"/>
              </w:rPr>
            </w:pPr>
            <w:r>
              <w:rPr>
                <w:rFonts w:ascii="Arial" w:cs="Arial" w:eastAsia="Arial" w:hAnsi="Arial"/>
                <w:sz w:val="18"/>
                <w:szCs w:val="18"/>
                <w:color w:val="auto"/>
                <w:w w:val="97"/>
              </w:rPr>
              <w:t>Net income per participating nonvested restricted shares (As Restated)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(Note ii)</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Series A-1 and Series A-2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0.01</w:t>
            </w: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Net income per Series A-3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0.02</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Series B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0.09</w:t>
            </w: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Net income per Series C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r>
      <w:tr>
        <w:trPr>
          <w:trHeight w:val="20"/>
        </w:trPr>
        <w:tc>
          <w:tcPr>
            <w:tcW w:w="5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5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Net loss per ordinary share attributable to Momo Technology Company</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Limited-diluted (As Restated) (Note ii)</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(0.12)</w:t>
            </w: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(0.26)</w:t>
            </w:r>
          </w:p>
        </w:tc>
      </w:tr>
      <w:tr>
        <w:trPr>
          <w:trHeight w:val="20"/>
        </w:trPr>
        <w:tc>
          <w:tcPr>
            <w:tcW w:w="5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94615</wp:posOffset>
            </wp:positionV>
            <wp:extent cx="70294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64" w:lineRule="exact"/>
        <w:rPr>
          <w:sz w:val="20"/>
          <w:szCs w:val="20"/>
          <w:color w:val="auto"/>
        </w:rPr>
      </w:pPr>
    </w:p>
    <w:p>
      <w:pPr>
        <w:ind w:left="840" w:hanging="661"/>
        <w:spacing w:after="0" w:line="227" w:lineRule="auto"/>
        <w:tabs>
          <w:tab w:leader="none" w:pos="820" w:val="left"/>
        </w:tabs>
        <w:rPr>
          <w:sz w:val="20"/>
          <w:szCs w:val="20"/>
          <w:color w:val="auto"/>
        </w:rPr>
      </w:pPr>
      <w:r>
        <w:rPr>
          <w:rFonts w:ascii="Arial" w:cs="Arial" w:eastAsia="Arial" w:hAnsi="Arial"/>
          <w:sz w:val="14"/>
          <w:szCs w:val="14"/>
          <w:color w:val="auto"/>
        </w:rPr>
        <w:t>Note i:</w:t>
      </w:r>
      <w:r>
        <w:rPr>
          <w:sz w:val="20"/>
          <w:szCs w:val="20"/>
          <w:color w:val="auto"/>
        </w:rPr>
        <w:tab/>
      </w:r>
      <w:r>
        <w:rPr>
          <w:rFonts w:ascii="Arial" w:cs="Arial" w:eastAsia="Arial" w:hAnsi="Arial"/>
          <w:sz w:val="14"/>
          <w:szCs w:val="14"/>
          <w:color w:val="auto"/>
        </w:rPr>
        <w:t>The Company has revised the disclosures related to the net loss per ordinary share and the weighted average ordinary shares outstanding of 147,000,000 to separately disclose the impact of the participating nonvested restricted shares of 86,896,346 and 79,809,589 for the two years ended December 31, 2012 and 2013, respectively, in accordance with the two class method.</w:t>
      </w:r>
    </w:p>
    <w:p>
      <w:pPr>
        <w:spacing w:after="0" w:line="1" w:lineRule="exact"/>
        <w:rPr>
          <w:sz w:val="20"/>
          <w:szCs w:val="20"/>
          <w:color w:val="auto"/>
        </w:rPr>
      </w:pPr>
    </w:p>
    <w:p>
      <w:pPr>
        <w:ind w:left="840" w:right="380" w:hanging="661"/>
        <w:spacing w:after="0" w:line="237" w:lineRule="auto"/>
        <w:tabs>
          <w:tab w:leader="none" w:pos="820" w:val="left"/>
        </w:tabs>
        <w:rPr>
          <w:sz w:val="20"/>
          <w:szCs w:val="20"/>
          <w:color w:val="auto"/>
        </w:rPr>
      </w:pPr>
      <w:r>
        <w:rPr>
          <w:rFonts w:ascii="Arial" w:cs="Arial" w:eastAsia="Arial" w:hAnsi="Arial"/>
          <w:sz w:val="14"/>
          <w:szCs w:val="14"/>
          <w:color w:val="auto"/>
        </w:rPr>
        <w:t>Note ii:</w:t>
        <w:tab/>
        <w:t>The Company has restated the basic and diluted net loss per ordinary share to allocate all net losses to the ordinary shares, as the restricted shares do not contain a contractual obligation to fund losses for each of the two years ended December 31, 2013.</w:t>
      </w:r>
    </w:p>
    <w:p>
      <w:pPr>
        <w:spacing w:after="0" w:line="188" w:lineRule="exact"/>
        <w:rPr>
          <w:sz w:val="20"/>
          <w:szCs w:val="20"/>
          <w:color w:val="auto"/>
        </w:rPr>
      </w:pPr>
    </w:p>
    <w:p>
      <w:pPr>
        <w:ind w:left="620" w:right="60"/>
        <w:spacing w:after="0" w:line="277" w:lineRule="auto"/>
        <w:rPr>
          <w:sz w:val="20"/>
          <w:szCs w:val="20"/>
          <w:color w:val="auto"/>
        </w:rPr>
      </w:pPr>
      <w:r>
        <w:rPr>
          <w:rFonts w:ascii="Arial" w:cs="Arial" w:eastAsia="Arial" w:hAnsi="Arial"/>
          <w:sz w:val="18"/>
          <w:szCs w:val="18"/>
          <w:color w:val="auto"/>
        </w:rPr>
        <w:t>The following table summarizes potential ordinary shares outstanding excluded from the computation of diluted net loss per ordinary share for the years ended December 31, 2012 and 2013, because their effect is anti-dilutive:</w:t>
      </w:r>
    </w:p>
    <w:p>
      <w:pPr>
        <w:spacing w:after="0" w:line="193" w:lineRule="exact"/>
        <w:rPr>
          <w:sz w:val="20"/>
          <w:szCs w:val="20"/>
          <w:color w:val="auto"/>
        </w:rPr>
      </w:pPr>
    </w:p>
    <w:p>
      <w:pPr>
        <w:jc w:val="center"/>
        <w:ind w:left="7660"/>
        <w:spacing w:after="0"/>
        <w:rPr>
          <w:sz w:val="20"/>
          <w:szCs w:val="20"/>
          <w:color w:val="auto"/>
        </w:rPr>
      </w:pPr>
      <w:r>
        <w:rPr>
          <w:rFonts w:ascii="Arial" w:cs="Arial" w:eastAsia="Arial" w:hAnsi="Arial"/>
          <w:sz w:val="14"/>
          <w:szCs w:val="14"/>
          <w:color w:val="auto"/>
        </w:rPr>
        <w:t>For the years ended</w:t>
      </w:r>
    </w:p>
    <w:p>
      <w:pPr>
        <w:jc w:val="center"/>
        <w:ind w:left="7660"/>
        <w:spacing w:after="0" w:line="231" w:lineRule="auto"/>
        <w:rPr>
          <w:sz w:val="20"/>
          <w:szCs w:val="20"/>
          <w:color w:val="auto"/>
        </w:rPr>
      </w:pPr>
      <w:r>
        <w:rPr>
          <w:rFonts w:ascii="Arial" w:cs="Arial" w:eastAsia="Arial" w:hAnsi="Arial"/>
          <w:sz w:val="14"/>
          <w:szCs w:val="14"/>
          <w:color w:val="auto"/>
        </w:rPr>
        <w:t>December 31,</w:t>
      </w:r>
    </w:p>
    <w:tbl>
      <w:tblPr>
        <w:tblLayout w:type="fixed"/>
        <w:tblInd w:w="740" w:type="dxa"/>
        <w:tblCellMar>
          <w:top w:w="0" w:type="dxa"/>
          <w:left w:w="0" w:type="dxa"/>
          <w:bottom w:w="0" w:type="dxa"/>
          <w:right w:w="0" w:type="dxa"/>
        </w:tblCellMar>
      </w:tblPr>
      <w:tr>
        <w:trPr>
          <w:trHeight w:val="142"/>
        </w:trPr>
        <w:tc>
          <w:tcPr>
            <w:tcW w:w="77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Share issuable upon exercise of share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1,014,557</w:t>
            </w: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Share issuable upon vesting of nonvested restricted shares (As Restated) (Note ii)</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86,896,346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79,809,589</w:t>
            </w: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Share issuable upon conversion of Series A-1 and Series A-2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36,124,555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38,977,742</w:t>
            </w: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Share issuable upon conversion of Series A-3 shares</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10,980,847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19,797,980</w:t>
            </w: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Share issuable upon conversion of Series B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28,012,996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69,513,767</w:t>
            </w:r>
          </w:p>
        </w:tc>
        <w:tc>
          <w:tcPr>
            <w:tcW w:w="120" w:type="dxa"/>
            <w:vAlign w:val="bottom"/>
            <w:shd w:val="clear" w:color="auto" w:fill="CCEEFF"/>
          </w:tcPr>
          <w:p>
            <w:pPr>
              <w:spacing w:after="0"/>
              <w:rPr>
                <w:sz w:val="18"/>
                <w:szCs w:val="18"/>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Share issuable upon conversion of Series C shares</w:t>
            </w: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7,280,436</w:t>
            </w:r>
          </w:p>
        </w:tc>
        <w:tc>
          <w:tcPr>
            <w:tcW w:w="120" w:type="dxa"/>
            <w:vAlign w:val="bottom"/>
          </w:tcPr>
          <w:p>
            <w:pPr>
              <w:spacing w:after="0"/>
              <w:rPr>
                <w:sz w:val="20"/>
                <w:szCs w:val="20"/>
                <w:color w:val="auto"/>
              </w:rPr>
            </w:pPr>
          </w:p>
        </w:tc>
      </w:tr>
      <w:tr>
        <w:trPr>
          <w:trHeight w:val="499"/>
        </w:trPr>
        <w:tc>
          <w:tcPr>
            <w:tcW w:w="7740" w:type="dxa"/>
            <w:vAlign w:val="bottom"/>
          </w:tcPr>
          <w:p>
            <w:pPr>
              <w:ind w:left="4800"/>
              <w:spacing w:after="0"/>
              <w:rPr>
                <w:sz w:val="20"/>
                <w:szCs w:val="20"/>
                <w:color w:val="auto"/>
              </w:rPr>
            </w:pPr>
            <w:r>
              <w:rPr>
                <w:rFonts w:ascii="Arial" w:cs="Arial" w:eastAsia="Arial" w:hAnsi="Arial"/>
                <w:sz w:val="18"/>
                <w:szCs w:val="18"/>
                <w:color w:val="auto"/>
              </w:rPr>
              <w:t>F-37</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315" w:lineRule="exact"/>
        <w:rPr>
          <w:sz w:val="20"/>
          <w:szCs w:val="20"/>
          <w:color w:val="auto"/>
        </w:rPr>
      </w:pPr>
    </w:p>
    <w:p>
      <w:pPr>
        <w:ind w:left="620" w:right="7180" w:hanging="441"/>
        <w:spacing w:after="0" w:line="378" w:lineRule="auto"/>
        <w:tabs>
          <w:tab w:leader="none" w:pos="61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Lease commitment</w:t>
      </w:r>
    </w:p>
    <w:p>
      <w:pPr>
        <w:ind w:left="620" w:right="4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 leases certain office premises under non-cancellable leases. These leases expire through 2016 and are renewable upon negotiation. Rental expenses under operating leases for the years ended December 31, 2012 and 2013 were $446 and $937, respectively.</w:t>
      </w:r>
    </w:p>
    <w:p>
      <w:pPr>
        <w:spacing w:after="0" w:line="15"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Future minimum payments under non-cancellable operating leases as of December 31, 2013 were as follows:</w:t>
      </w:r>
    </w:p>
    <w:p>
      <w:pPr>
        <w:spacing w:after="0" w:line="26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2017 and after</w:t>
            </w: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40" w:type="dxa"/>
            <w:vAlign w:val="bottom"/>
            <w:gridSpan w:val="2"/>
            <w:vMerge w:val="restart"/>
          </w:tcPr>
          <w:p>
            <w:pPr>
              <w:spacing w:after="0"/>
              <w:rPr>
                <w:sz w:val="20"/>
                <w:szCs w:val="20"/>
                <w:color w:val="auto"/>
              </w:rPr>
            </w:pPr>
            <w:r>
              <w:rPr>
                <w:rFonts w:ascii="Arial" w:cs="Arial" w:eastAsia="Arial" w:hAnsi="Arial"/>
                <w:sz w:val="18"/>
                <w:szCs w:val="18"/>
                <w:color w:val="auto"/>
                <w:w w:val="89"/>
              </w:rPr>
              <w:t>Contingencies</w:t>
            </w:r>
          </w:p>
        </w:tc>
        <w:tc>
          <w:tcPr>
            <w:tcW w:w="6280" w:type="dxa"/>
            <w:vAlign w:val="bottom"/>
            <w:gridSpan w:val="2"/>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40" w:type="dxa"/>
            <w:vAlign w:val="bottom"/>
          </w:tcPr>
          <w:p>
            <w:pPr>
              <w:spacing w:after="0"/>
              <w:rPr>
                <w:sz w:val="24"/>
                <w:szCs w:val="24"/>
                <w:color w:val="auto"/>
              </w:rPr>
            </w:pPr>
          </w:p>
        </w:tc>
        <w:tc>
          <w:tcPr>
            <w:tcW w:w="1040" w:type="dxa"/>
            <w:vAlign w:val="bottom"/>
            <w:tcBorders>
              <w:bottom w:val="single" w:sz="8" w:color="auto"/>
            </w:tcBorders>
            <w:gridSpan w:val="2"/>
            <w:vMerge w:val="continue"/>
          </w:tcPr>
          <w:p>
            <w:pPr>
              <w:spacing w:after="0"/>
              <w:rPr>
                <w:sz w:val="24"/>
                <w:szCs w:val="24"/>
                <w:color w:val="auto"/>
              </w:rPr>
            </w:pPr>
          </w:p>
        </w:tc>
        <w:tc>
          <w:tcPr>
            <w:tcW w:w="62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40" w:type="dxa"/>
            <w:vAlign w:val="bottom"/>
          </w:tcPr>
          <w:p>
            <w:pPr>
              <w:spacing w:after="0"/>
              <w:rPr>
                <w:sz w:val="24"/>
                <w:szCs w:val="24"/>
                <w:color w:val="auto"/>
              </w:rPr>
            </w:pPr>
          </w:p>
        </w:tc>
        <w:tc>
          <w:tcPr>
            <w:tcW w:w="7320" w:type="dxa"/>
            <w:vAlign w:val="bottom"/>
            <w:gridSpan w:val="4"/>
          </w:tcPr>
          <w:p>
            <w:pPr>
              <w:spacing w:after="0"/>
              <w:rPr>
                <w:sz w:val="20"/>
                <w:szCs w:val="20"/>
                <w:color w:val="auto"/>
              </w:rPr>
            </w:pPr>
            <w:r>
              <w:rPr>
                <w:rFonts w:ascii="Arial" w:cs="Arial" w:eastAsia="Arial" w:hAnsi="Arial"/>
                <w:sz w:val="18"/>
                <w:szCs w:val="18"/>
                <w:color w:val="auto"/>
                <w:w w:val="96"/>
              </w:rPr>
              <w:t>There were no material contingencies noted for the years ended December 31, 2012 and 2013.</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7760" w:type="dxa"/>
            <w:vAlign w:val="bottom"/>
            <w:gridSpan w:val="5"/>
          </w:tcPr>
          <w:p>
            <w:pPr>
              <w:spacing w:after="0"/>
              <w:rPr>
                <w:sz w:val="20"/>
                <w:szCs w:val="20"/>
                <w:color w:val="auto"/>
              </w:rPr>
            </w:pPr>
            <w:r>
              <w:rPr>
                <w:rFonts w:ascii="Arial" w:cs="Arial" w:eastAsia="Arial" w:hAnsi="Arial"/>
                <w:sz w:val="18"/>
                <w:szCs w:val="18"/>
                <w:b w:val="1"/>
                <w:bCs w:val="1"/>
                <w:color w:val="auto"/>
              </w:rPr>
              <w:t>15.  RELATED PARTY BALANCES AND TRANSACTIONS</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7320" w:type="dxa"/>
            <w:vAlign w:val="bottom"/>
            <w:gridSpan w:val="4"/>
          </w:tcPr>
          <w:p>
            <w:pPr>
              <w:spacing w:after="0"/>
              <w:rPr>
                <w:sz w:val="20"/>
                <w:szCs w:val="20"/>
                <w:color w:val="auto"/>
              </w:rPr>
            </w:pPr>
            <w:r>
              <w:rPr>
                <w:rFonts w:ascii="Arial" w:cs="Arial" w:eastAsia="Arial" w:hAnsi="Arial"/>
                <w:sz w:val="18"/>
                <w:szCs w:val="18"/>
                <w:color w:val="auto"/>
              </w:rPr>
              <w:t>Amount due from a related party of the Group:</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960" w:type="dxa"/>
            <w:vAlign w:val="bottom"/>
            <w:gridSpan w:val="7"/>
          </w:tcPr>
          <w:p>
            <w:pPr>
              <w:ind w:left="3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52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2012</w:t>
            </w:r>
          </w:p>
        </w:tc>
        <w:tc>
          <w:tcPr>
            <w:tcW w:w="1360" w:type="dxa"/>
            <w:vAlign w:val="bottom"/>
            <w:tcBorders>
              <w:top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40" w:type="dxa"/>
            <w:vAlign w:val="bottom"/>
            <w:tcBorders>
              <w:top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Amount due from a related party-current:</w:t>
            </w: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Amount due from an ordinary shareholder</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  951</w:t>
            </w:r>
          </w:p>
        </w:tc>
        <w:tc>
          <w:tcPr>
            <w:tcW w:w="1440" w:type="dxa"/>
            <w:vAlign w:val="bottom"/>
            <w:gridSpan w:val="6"/>
          </w:tcPr>
          <w:p>
            <w:pPr>
              <w:jc w:val="right"/>
              <w:ind w:right="80"/>
              <w:spacing w:after="0"/>
              <w:rPr>
                <w:sz w:val="20"/>
                <w:szCs w:val="20"/>
                <w:color w:val="auto"/>
              </w:rPr>
            </w:pPr>
            <w:r>
              <w:rPr>
                <w:rFonts w:ascii="Arial" w:cs="Arial" w:eastAsia="Arial" w:hAnsi="Arial"/>
                <w:sz w:val="18"/>
                <w:szCs w:val="18"/>
                <w:color w:val="auto"/>
              </w:rPr>
              <w:t>$  198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100"/>
        <w:spacing w:after="0" w:line="277" w:lineRule="auto"/>
        <w:rPr>
          <w:sz w:val="20"/>
          <w:szCs w:val="20"/>
          <w:color w:val="auto"/>
        </w:rPr>
      </w:pPr>
      <w:r>
        <w:rPr>
          <w:rFonts w:ascii="Arial" w:cs="Arial" w:eastAsia="Arial" w:hAnsi="Arial"/>
          <w:sz w:val="18"/>
          <w:szCs w:val="18"/>
          <w:color w:val="auto"/>
        </w:rPr>
        <w:t>The amount as of December 31, 2012 represents the amount provided by the Group to Mr. Yan Tang which for investing in Smartisan Technology Co., Ltd on behalf of the Company. Such investment was completed in April 2013, as mentioned in Note 5.</w:t>
      </w:r>
    </w:p>
    <w:p>
      <w:pPr>
        <w:spacing w:after="0" w:line="62" w:lineRule="exact"/>
        <w:rPr>
          <w:sz w:val="20"/>
          <w:szCs w:val="20"/>
          <w:color w:val="auto"/>
        </w:rPr>
      </w:pPr>
    </w:p>
    <w:p>
      <w:pPr>
        <w:ind w:left="620" w:right="280"/>
        <w:spacing w:after="0" w:line="277" w:lineRule="auto"/>
        <w:rPr>
          <w:sz w:val="20"/>
          <w:szCs w:val="20"/>
          <w:color w:val="auto"/>
        </w:rPr>
      </w:pPr>
      <w:r>
        <w:rPr>
          <w:rFonts w:ascii="Arial" w:cs="Arial" w:eastAsia="Arial" w:hAnsi="Arial"/>
          <w:sz w:val="18"/>
          <w:szCs w:val="18"/>
          <w:color w:val="auto"/>
        </w:rPr>
        <w:t>The amount as of December 31, 2013 represents personal loan provided by the Group to Mr. Yan Tang with no interest charges, and it was fully repaid in June 2014.</w:t>
      </w:r>
    </w:p>
    <w:p>
      <w:pPr>
        <w:spacing w:after="0" w:line="315" w:lineRule="exact"/>
        <w:rPr>
          <w:sz w:val="20"/>
          <w:szCs w:val="20"/>
          <w:color w:val="auto"/>
        </w:rPr>
      </w:pPr>
    </w:p>
    <w:p>
      <w:pPr>
        <w:ind w:left="620" w:hanging="441"/>
        <w:spacing w:after="0"/>
        <w:tabs>
          <w:tab w:leader="none" w:pos="62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6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Group’s chief operating decision maker has been identified as the Chief Executive Officer (“CEO”), who reviews consolidated results when making decisions about allocating resources and assessing performance of the Group. The Group’s revenue and net income are substantially derived from membership subscription services, offering the platform for mobile games developed by third parties and other services, including the use of the paid emoticons and mobile marketing services. But the Group does not have discrete financial information of costs and expenses between various services in its internal reporting, and reports costs and expenses by nature as a whole. Therefore, The Group has one operating segment.</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 continued</w:t>
      </w:r>
    </w:p>
    <w:p>
      <w:pPr>
        <w:spacing w:after="0" w:line="337" w:lineRule="exact"/>
        <w:rPr>
          <w:sz w:val="20"/>
          <w:szCs w:val="20"/>
          <w:color w:val="auto"/>
        </w:rPr>
      </w:pPr>
    </w:p>
    <w:p>
      <w:pPr>
        <w:ind w:left="620" w:right="180"/>
        <w:spacing w:after="0" w:line="277" w:lineRule="auto"/>
        <w:rPr>
          <w:sz w:val="20"/>
          <w:szCs w:val="20"/>
          <w:color w:val="auto"/>
        </w:rPr>
      </w:pPr>
      <w:r>
        <w:rPr>
          <w:rFonts w:ascii="Arial" w:cs="Arial" w:eastAsia="Arial" w:hAnsi="Arial"/>
          <w:sz w:val="18"/>
          <w:szCs w:val="18"/>
          <w:color w:val="auto"/>
        </w:rPr>
        <w:t>The table below is only presented at the revenue level with no allocations of direct or indirect cost and expenses. The Group operates in the PRC and all of the Group’s long-lived assets are located and services are provided in the PRC.</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Components of revenues are presented in the following table:</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780" w:type="dxa"/>
            <w:vAlign w:val="bottom"/>
            <w:gridSpan w:val="4"/>
          </w:tcPr>
          <w:p>
            <w:pPr>
              <w:jc w:val="center"/>
              <w:ind w:right="80"/>
              <w:spacing w:after="0"/>
              <w:rPr>
                <w:sz w:val="20"/>
                <w:szCs w:val="20"/>
                <w:color w:val="auto"/>
              </w:rPr>
            </w:pPr>
            <w:r>
              <w:rPr>
                <w:rFonts w:ascii="Arial" w:cs="Arial" w:eastAsia="Arial" w:hAnsi="Arial"/>
                <w:sz w:val="14"/>
                <w:szCs w:val="14"/>
                <w:color w:val="auto"/>
                <w:w w:val="89"/>
              </w:rPr>
              <w:t>For the year ended</w:t>
            </w:r>
          </w:p>
        </w:tc>
      </w:tr>
      <w:tr>
        <w:trPr>
          <w:trHeight w:val="167"/>
        </w:trPr>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color w:val="auto"/>
                <w:w w:val="93"/>
              </w:rPr>
              <w:t>December 31,</w:t>
            </w:r>
          </w:p>
        </w:tc>
      </w:tr>
      <w:tr>
        <w:trPr>
          <w:trHeight w:val="142"/>
        </w:trPr>
        <w:tc>
          <w:tcPr>
            <w:tcW w:w="66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2012</w:t>
            </w:r>
          </w:p>
        </w:tc>
        <w:tc>
          <w:tcPr>
            <w:tcW w:w="13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2013</w:t>
            </w:r>
          </w:p>
        </w:tc>
        <w:tc>
          <w:tcPr>
            <w:tcW w:w="80" w:type="dxa"/>
            <w:vAlign w:val="bottom"/>
          </w:tcPr>
          <w:p>
            <w:pPr>
              <w:spacing w:after="0"/>
              <w:rPr>
                <w:sz w:val="12"/>
                <w:szCs w:val="12"/>
                <w:color w:val="auto"/>
              </w:rPr>
            </w:pP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Membership subscription</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8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$ 2,808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Mobile games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92</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w:t>
            </w:r>
          </w:p>
        </w:tc>
        <w:tc>
          <w:tcPr>
            <w:tcW w:w="8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$ 3,129</w:t>
            </w:r>
          </w:p>
        </w:tc>
        <w:tc>
          <w:tcPr>
            <w:tcW w:w="8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620" w:hanging="441"/>
        <w:spacing w:after="0"/>
        <w:tabs>
          <w:tab w:leader="none" w:pos="62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rFonts w:ascii="Arial" w:cs="Arial" w:eastAsia="Arial" w:hAnsi="Arial"/>
          <w:sz w:val="18"/>
          <w:szCs w:val="18"/>
          <w:b w:val="1"/>
          <w:bCs w:val="1"/>
          <w:color w:val="auto"/>
        </w:rPr>
      </w:pPr>
    </w:p>
    <w:p>
      <w:pPr>
        <w:ind w:left="62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Full time employees of the Group in the PRC participate in a government-mandated defined contribution plan pursuant to which certain pension benefits, medical care, unemployment insurance, employee housing fund and other welfare benefits are provided to employees. The Group accrues for these benefits based on certain percentages of the employees’ salaries. The total provisions for such employee benefits were $311 and $978 for the years ended December 31, 2012 and 2013, respectively.</w:t>
      </w:r>
    </w:p>
    <w:p>
      <w:pPr>
        <w:spacing w:after="0" w:line="331" w:lineRule="exact"/>
        <w:rPr>
          <w:rFonts w:ascii="Arial" w:cs="Arial" w:eastAsia="Arial" w:hAnsi="Arial"/>
          <w:sz w:val="18"/>
          <w:szCs w:val="18"/>
          <w:b w:val="1"/>
          <w:bCs w:val="1"/>
          <w:color w:val="auto"/>
        </w:rPr>
      </w:pPr>
    </w:p>
    <w:p>
      <w:pPr>
        <w:ind w:left="620" w:hanging="441"/>
        <w:spacing w:after="0"/>
        <w:tabs>
          <w:tab w:leader="none" w:pos="62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 AND RESTRICTED NET ASSETS</w:t>
      </w:r>
    </w:p>
    <w:p>
      <w:pPr>
        <w:spacing w:after="0" w:line="121" w:lineRule="exact"/>
        <w:rPr>
          <w:rFonts w:ascii="Arial" w:cs="Arial" w:eastAsia="Arial" w:hAnsi="Arial"/>
          <w:sz w:val="18"/>
          <w:szCs w:val="18"/>
          <w:b w:val="1"/>
          <w:bCs w:val="1"/>
          <w:color w:val="auto"/>
        </w:rPr>
      </w:pPr>
    </w:p>
    <w:p>
      <w:pPr>
        <w:ind w:left="6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Regulations on Enterprises with Foreign Investment of China and their articles of association, the Group’s subsidiaries and VIE located in the PRC, being foreign invested enterprises established in the PRC, are required to provide for certain statutory reserves. These statutory reserve funds include one or more of the following: (i) a general reserve, (ii) an enterprise expansion fund or discretionary reserve fund, and (iii) a staff bonus and welfare fund. Subject to certain cumulative limits, the general reserve fund requires a minimum annual appropriation of 10% of after-tax profit (as determined under accounting principles generally accepted in China at each year-end); the other fund appropriations are at the subsidiaries’ or the affiliated PRC entities’ discretion. These statutory reserve funds can only be used for specific purposes of enterprise expansion, staff bonus and welfare, and are not distributable as cash dividends except in the event of liquidation of our subsidiaries, our affiliated PRC entities and their respective subsidiaries. The Group’s subsidiaries and VIE are required to allocate at least 10% of their after-tax profits to the general reserve until such reserve has reached 50% of their respective registered capital. As of December 31, 2013, none of the Group’s PRC subsidiary and VIE had a general reserve that reached the 50% of their registered capital threshold, therefore they will continue to allocate at least 10% of their after tax profits to the general reserve fund.</w:t>
      </w:r>
    </w:p>
    <w:p>
      <w:pPr>
        <w:spacing w:after="0" w:line="74" w:lineRule="exact"/>
        <w:rPr>
          <w:rFonts w:ascii="Arial" w:cs="Arial" w:eastAsia="Arial" w:hAnsi="Arial"/>
          <w:sz w:val="18"/>
          <w:szCs w:val="18"/>
          <w:b w:val="1"/>
          <w:bCs w:val="1"/>
          <w:color w:val="auto"/>
        </w:rPr>
      </w:pPr>
    </w:p>
    <w:p>
      <w:pPr>
        <w:ind w:left="62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Appropriations to the enterprise expansion reserve and the staff welfare and bonus reserve are to be made at the discretion of the board of directors of each of the Group’s subsidiaries.</w:t>
      </w:r>
    </w:p>
    <w:p>
      <w:pPr>
        <w:spacing w:after="0" w:line="62" w:lineRule="exact"/>
        <w:rPr>
          <w:rFonts w:ascii="Arial" w:cs="Arial" w:eastAsia="Arial" w:hAnsi="Arial"/>
          <w:sz w:val="18"/>
          <w:szCs w:val="18"/>
          <w:b w:val="1"/>
          <w:bCs w:val="1"/>
          <w:color w:val="auto"/>
        </w:rPr>
      </w:pPr>
    </w:p>
    <w:p>
      <w:pPr>
        <w:ind w:left="62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appropriation to these reserves by the Group’s PRC subsidiary and VIE was $nil and $nil for the years ended December 31, 2012 and 2013 due to accumulated deficit.</w:t>
      </w: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 AND RESTRICTED NET ASSETS - continued</w:t>
      </w:r>
    </w:p>
    <w:p>
      <w:pPr>
        <w:spacing w:after="0" w:line="337" w:lineRule="exact"/>
        <w:rPr>
          <w:sz w:val="20"/>
          <w:szCs w:val="20"/>
          <w:color w:val="auto"/>
        </w:rPr>
      </w:pPr>
    </w:p>
    <w:p>
      <w:pPr>
        <w:ind w:left="620" w:right="20"/>
        <w:spacing w:after="0" w:line="271" w:lineRule="auto"/>
        <w:rPr>
          <w:sz w:val="20"/>
          <w:szCs w:val="20"/>
          <w:color w:val="auto"/>
        </w:rPr>
      </w:pPr>
      <w:r>
        <w:rPr>
          <w:rFonts w:ascii="Arial" w:cs="Arial" w:eastAsia="Arial" w:hAnsi="Arial"/>
          <w:sz w:val="17"/>
          <w:szCs w:val="17"/>
          <w:color w:val="auto"/>
        </w:rPr>
        <w:t>Relevant PRC laws and regulations restrict the WFOE, VIE and VIE’s subsidiary from transferring a portion of their net assets, equivalent to the balance of their statutory reserves and their paid in capital, to the Company in the form of loans, advances or cash dividends. The WFOE’s accumulated profits may be distributed as dividends to the Company without the consent of a third party. The VIE and VIE’s subsidiary’s revenues and accumulated profits may be transferred to the Company through contractual arrangements without the consent of a third party. Under applicable PRC law, loans from PRC companies to their offshore affiliated entities require governmental approval, and advances by PRC companies to their offshore affiliated entities must be supported by bona fide business transactions. The capital and statutory reserves restricted which represented the amount of net assets of the WFOE, VIE and VIE’s subsidiary in the Group not available for distribution were $12,047 and $nil as of December 31, 2013, respectively.</w:t>
      </w:r>
    </w:p>
    <w:p>
      <w:pPr>
        <w:spacing w:after="0" w:line="324" w:lineRule="exact"/>
        <w:rPr>
          <w:sz w:val="20"/>
          <w:szCs w:val="20"/>
          <w:color w:val="auto"/>
        </w:rPr>
      </w:pPr>
    </w:p>
    <w:p>
      <w:pPr>
        <w:ind w:left="620" w:hanging="441"/>
        <w:spacing w:after="0"/>
        <w:tabs>
          <w:tab w:leader="none" w:pos="62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2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has evaluated events subsequent to the balance sheet date of December 31, 2013 through December 8, 2014, the date on which the financial statements were available to be issued.</w:t>
      </w:r>
    </w:p>
    <w:p>
      <w:pPr>
        <w:spacing w:after="0" w:line="278"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 of new office premise in Beijing</w:t>
      </w:r>
    </w:p>
    <w:p>
      <w:pPr>
        <w:spacing w:after="0" w:line="117" w:lineRule="exact"/>
        <w:rPr>
          <w:rFonts w:ascii="Arial" w:cs="Arial" w:eastAsia="Arial" w:hAnsi="Arial"/>
          <w:sz w:val="18"/>
          <w:szCs w:val="18"/>
          <w:b w:val="1"/>
          <w:bCs w:val="1"/>
          <w:color w:val="auto"/>
        </w:rPr>
      </w:pPr>
    </w:p>
    <w:p>
      <w:pPr>
        <w:ind w:left="62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February 2014, the Group entered into a rental agreement to lease a new office premise in Beijing China which will be used as our company headquarter. The leasing period is 27 months starting from February 2014 and the total rental expense for the whole leasing period is approximately $5,358.</w:t>
      </w:r>
    </w:p>
    <w:p>
      <w:pPr>
        <w:spacing w:after="0" w:line="289"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Newly issued share options</w:t>
      </w:r>
    </w:p>
    <w:p>
      <w:pPr>
        <w:spacing w:after="0" w:line="117" w:lineRule="exact"/>
        <w:rPr>
          <w:rFonts w:ascii="Arial" w:cs="Arial" w:eastAsia="Arial" w:hAnsi="Arial"/>
          <w:sz w:val="18"/>
          <w:szCs w:val="18"/>
          <w:b w:val="1"/>
          <w:bCs w:val="1"/>
          <w:color w:val="auto"/>
        </w:rPr>
      </w:pPr>
    </w:p>
    <w:p>
      <w:pPr>
        <w:ind w:left="62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March 2014, the Group granted 4,593,526 share options in total to employees and nonemployees, with exercise price of $0.1404 per share and vesting period of 4 years. The fair value was $3.87 per option. The total compensation expense relating to the options was approximately $17,777.</w:t>
      </w:r>
    </w:p>
    <w:p>
      <w:pPr>
        <w:spacing w:after="0" w:line="23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Issuance of Series D convertible redeemable participating preferred shares</w:t>
      </w:r>
    </w:p>
    <w:p>
      <w:pPr>
        <w:spacing w:after="0" w:line="117" w:lineRule="exact"/>
        <w:rPr>
          <w:rFonts w:ascii="Arial" w:cs="Arial" w:eastAsia="Arial" w:hAnsi="Arial"/>
          <w:sz w:val="18"/>
          <w:szCs w:val="18"/>
          <w:b w:val="1"/>
          <w:bCs w:val="1"/>
          <w:color w:val="auto"/>
        </w:rPr>
      </w:pPr>
    </w:p>
    <w:p>
      <w:pPr>
        <w:jc w:val="both"/>
        <w:ind w:left="62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April 22, 2014, the Group entered into the agreements with a group of investors to issue an aggregate of 43,693,356 Series D convertible redeemable participating preferred shares for an aggregate purchase price of $211,750 (or $4.85 per share), which was received in May 2014.</w:t>
      </w:r>
    </w:p>
    <w:p>
      <w:pPr>
        <w:spacing w:after="0" w:line="23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Donation of ordinary shares from certain ordinary shareholders and declaration of special dividends</w:t>
      </w:r>
    </w:p>
    <w:p>
      <w:pPr>
        <w:spacing w:after="0" w:line="117" w:lineRule="exact"/>
        <w:rPr>
          <w:rFonts w:ascii="Arial" w:cs="Arial" w:eastAsia="Arial" w:hAnsi="Arial"/>
          <w:sz w:val="18"/>
          <w:szCs w:val="18"/>
          <w:b w:val="1"/>
          <w:bCs w:val="1"/>
          <w:color w:val="auto"/>
        </w:rPr>
      </w:pPr>
    </w:p>
    <w:p>
      <w:pPr>
        <w:jc w:val="both"/>
        <w:ind w:left="620" w:right="6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April 22, 2014, certain ordinary shareholders who are also the senior management of the Company donated an aggregate of 15,651,589 ordinary shares to the Company with no consideration. On the same date, the Group declared a special dividend to these shareholders at an aggregated amount of $64,494, among which $58,044 was paid in May 2014.</w:t>
      </w:r>
    </w:p>
    <w:p>
      <w:pPr>
        <w:spacing w:after="0" w:line="73" w:lineRule="exact"/>
        <w:rPr>
          <w:rFonts w:ascii="Arial" w:cs="Arial" w:eastAsia="Arial" w:hAnsi="Arial"/>
          <w:sz w:val="18"/>
          <w:szCs w:val="18"/>
          <w:b w:val="1"/>
          <w:bCs w:val="1"/>
          <w:color w:val="auto"/>
        </w:rPr>
      </w:pPr>
    </w:p>
    <w:p>
      <w:pPr>
        <w:ind w:lef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considered the whole transaction as a repurchase of ordinary shares of which the repurchase price is considerably lower than the fair value of ordinary share.</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2012 AND 2013</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139"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 continued</w:t>
      </w:r>
    </w:p>
    <w:p>
      <w:pPr>
        <w:spacing w:after="0" w:line="33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Share repurchase</w:t>
      </w:r>
    </w:p>
    <w:p>
      <w:pPr>
        <w:spacing w:after="0" w:line="117" w:lineRule="exact"/>
        <w:rPr>
          <w:sz w:val="20"/>
          <w:szCs w:val="20"/>
          <w:color w:val="auto"/>
        </w:rPr>
      </w:pPr>
    </w:p>
    <w:p>
      <w:pPr>
        <w:ind w:left="620" w:right="120"/>
        <w:spacing w:after="0" w:line="259" w:lineRule="auto"/>
        <w:rPr>
          <w:sz w:val="20"/>
          <w:szCs w:val="20"/>
          <w:color w:val="auto"/>
        </w:rPr>
      </w:pPr>
      <w:r>
        <w:rPr>
          <w:rFonts w:ascii="Arial" w:cs="Arial" w:eastAsia="Arial" w:hAnsi="Arial"/>
          <w:sz w:val="18"/>
          <w:szCs w:val="18"/>
          <w:color w:val="auto"/>
        </w:rPr>
        <w:t>On April 22, 2014, the Group entered into the agreements to repurchase 7,298,857 shares of Series A-1 preferred shares from one shareholder for consideration of $30,750 which was paid in May 2014. The repurchase amount is in excess of the carrying amount of such Series A-1 preferred shares as of April 22, 2014, which is considered as deemed dividend to Series A-1 preferred shareholder and recorded in the accumulated deficit. All the shares repurchased were cancelled on the same date.</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Amendment of VIE agreements</w:t>
      </w:r>
    </w:p>
    <w:p>
      <w:pPr>
        <w:spacing w:after="0" w:line="117" w:lineRule="exact"/>
        <w:rPr>
          <w:sz w:val="20"/>
          <w:szCs w:val="20"/>
          <w:color w:val="auto"/>
        </w:rPr>
      </w:pPr>
    </w:p>
    <w:p>
      <w:pPr>
        <w:ind w:left="620"/>
        <w:spacing w:after="0" w:line="290" w:lineRule="auto"/>
        <w:rPr>
          <w:sz w:val="20"/>
          <w:szCs w:val="20"/>
          <w:color w:val="auto"/>
        </w:rPr>
      </w:pPr>
      <w:r>
        <w:rPr>
          <w:rFonts w:ascii="Arial" w:cs="Arial" w:eastAsia="Arial" w:hAnsi="Arial"/>
          <w:sz w:val="16"/>
          <w:szCs w:val="16"/>
          <w:color w:val="auto"/>
        </w:rPr>
        <w:t>In August 2014, Beijing Momo IT entered into an Exclusive Cooperation Agreement and a Supplemental Agreement with Beijing Momo and Chengdu Momo, respectively, to supersede the Exclusive Technology Consulting and Management Services Agreements signed in April 2012 by Beijing Momo IT and Beijing Momo. Pursuant to the amended agreements, Beijing Momo IT has the exclusive right to provide, among other things, licenses, copyrights, technical and non-technical services to Beijing Momo and Chengdu Momo and receive service fees and license fees as consideration. Beijing Momo and Chengdu Momo will maintain a pre-determined level of operating profit and remit the excess operating profit, if any, to Beijing Momo IT as the consideration of the licenses, copyrights, technical and non-technical services provided by Beijing Momo IT. The agreements will remain effective in 10 years. At the sole discretion of Beijing Momo IT, the agreements could be renewed on applicable expirations dates, or Beijing Momo IT, Beijing Momo and Chengdu Momo could enter into other exclusive agreements.</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Newly issued share options</w:t>
      </w:r>
    </w:p>
    <w:p>
      <w:pPr>
        <w:spacing w:after="0" w:line="117" w:lineRule="exact"/>
        <w:rPr>
          <w:sz w:val="20"/>
          <w:szCs w:val="20"/>
          <w:color w:val="auto"/>
        </w:rPr>
      </w:pPr>
    </w:p>
    <w:p>
      <w:pPr>
        <w:ind w:left="620" w:right="160"/>
        <w:spacing w:after="0" w:line="312" w:lineRule="auto"/>
        <w:rPr>
          <w:sz w:val="20"/>
          <w:szCs w:val="20"/>
          <w:color w:val="auto"/>
        </w:rPr>
      </w:pPr>
      <w:r>
        <w:rPr>
          <w:rFonts w:ascii="Arial" w:cs="Arial" w:eastAsia="Arial" w:hAnsi="Arial"/>
          <w:sz w:val="16"/>
          <w:szCs w:val="16"/>
          <w:color w:val="auto"/>
        </w:rPr>
        <w:t>In October 2014, the Group granted 2,963,500 share options to employees with exercise price of $0.0002 per share and vesting period of 4 years. The fair value was estimated approximately US$6.75 per option, by using the mid-point of the estimated initial public offering range as the fair value per share underlying the options. The total compensation expense relating to the options was approximately US$20 million.</w:t>
      </w: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ADDITIONAL INFORMATION - FINANCIAL STATEMENT 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2020" w:type="dxa"/>
            <w:vAlign w:val="bottom"/>
            <w:gridSpan w:val="4"/>
          </w:tcPr>
          <w:p>
            <w:pPr>
              <w:jc w:val="right"/>
              <w:ind w:right="4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2012</w:t>
            </w:r>
          </w:p>
        </w:tc>
        <w:tc>
          <w:tcPr>
            <w:tcW w:w="6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$17,829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$ 51,576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Amount due from related parties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23,585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Investment in subsidiaries, VIE and VIE’s subsidiary</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(2,944)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20,641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Liabilities, mezzanine equity and equity</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tcPr>
          <w:p>
            <w:pPr>
              <w:ind w:left="340"/>
              <w:spacing w:after="0" w:line="201" w:lineRule="exact"/>
              <w:rPr>
                <w:sz w:val="20"/>
                <w:szCs w:val="20"/>
                <w:color w:val="auto"/>
              </w:rPr>
            </w:pPr>
            <w:r>
              <w:rPr>
                <w:rFonts w:ascii="Arial" w:cs="Arial" w:eastAsia="Arial" w:hAnsi="Arial"/>
                <w:sz w:val="18"/>
                <w:szCs w:val="18"/>
                <w:color w:val="auto"/>
                <w:w w:val="97"/>
              </w:rPr>
              <w:t>Series A-1 and Series A-2 convertible redeemable participating preferred shares ($0.0001 par value; 48,560,050 and</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w w:val="96"/>
              </w:rPr>
              <w:t>38,480,677 shares authorized as of December 31, 2012 and 2013, respectively, 48,560,050 and 38,480,677 shares</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w w:val="96"/>
              </w:rPr>
              <w:t>issued and outstanding as of December 31, 2012 and 2013, respectively, liquidation value of $4,781 and $4,260 as</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rPr>
              <w:t>of December 31, 2012 and 2013, respectively)</w:t>
            </w:r>
          </w:p>
        </w:tc>
        <w:tc>
          <w:tcPr>
            <w:tcW w:w="580" w:type="dxa"/>
            <w:vAlign w:val="bottom"/>
          </w:tcPr>
          <w:p>
            <w:pPr>
              <w:jc w:val="right"/>
              <w:spacing w:after="0"/>
              <w:rPr>
                <w:sz w:val="20"/>
                <w:szCs w:val="20"/>
                <w:color w:val="auto"/>
              </w:rPr>
            </w:pPr>
            <w:r>
              <w:rPr>
                <w:rFonts w:ascii="Arial" w:cs="Arial" w:eastAsia="Arial" w:hAnsi="Arial"/>
                <w:sz w:val="18"/>
                <w:szCs w:val="18"/>
                <w:color w:val="auto"/>
              </w:rPr>
              <w:t>2,224</w:t>
            </w:r>
          </w:p>
        </w:tc>
        <w:tc>
          <w:tcPr>
            <w:tcW w:w="6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Series A-3 convertible redeemable participating preferred shares ($0.0001 par value; 19,797,980 shares authorized as</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of December 31, 2012 and 2013, 19,797,980 and 19,797,980 shares issued and outstanding as of December 31,</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2012 and 2013, respectively, liquidation value of $4,231 and $4,512 as of December 31, 2012 and 2013,</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6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tcPr>
          <w:p>
            <w:pPr>
              <w:ind w:left="340"/>
              <w:spacing w:after="0" w:line="201" w:lineRule="exact"/>
              <w:rPr>
                <w:sz w:val="20"/>
                <w:szCs w:val="20"/>
                <w:color w:val="auto"/>
              </w:rPr>
            </w:pPr>
            <w:r>
              <w:rPr>
                <w:rFonts w:ascii="Arial" w:cs="Arial" w:eastAsia="Arial" w:hAnsi="Arial"/>
                <w:sz w:val="18"/>
                <w:szCs w:val="18"/>
                <w:color w:val="auto"/>
                <w:w w:val="95"/>
              </w:rPr>
              <w:t>Series B convertible redeemable participating preferred shares ($0.0001 par value; 59,957,640 and 70,037,013 shares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rPr>
              <w:t>authorized as of December 31, 2012 and 2013, respectively; 59,957,640 and 70,037,013 shares issued and</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rPr>
              <w:t>outstanding as of December 31, 2012 and 2013, respectively, liquidation value of $20,341 and $25,661 as of</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rPr>
              <w:t>December 31, 2012 and 2013, respectively)</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20,710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26,892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C convertible redeemable participating preferred shares ($0.0001 par value; nil and 36,008,642 shares</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authorized as of December 31, 2012 and 2013, nil and 36,008,642 shares issued and outstanding as of</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2012 and 2013, respectively, liquidation value of $nil and $59,240 as of December 31, 2012 and</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2013, respectively)</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46,435</w:t>
            </w:r>
          </w:p>
        </w:tc>
        <w:tc>
          <w:tcPr>
            <w:tcW w:w="0" w:type="dxa"/>
            <w:vAlign w:val="bottom"/>
          </w:tcPr>
          <w:p>
            <w:pPr>
              <w:spacing w:after="0"/>
              <w:rPr>
                <w:sz w:val="1"/>
                <w:szCs w:val="1"/>
                <w:color w:val="auto"/>
              </w:rPr>
            </w:pPr>
          </w:p>
        </w:tc>
      </w:tr>
      <w:tr>
        <w:trPr>
          <w:trHeight w:val="324"/>
        </w:trPr>
        <w:tc>
          <w:tcPr>
            <w:tcW w:w="94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Ordinary shares ($0.0001 par value; 371,684,330 and 835,675,688 shares authorized as of December 31, 2012 and</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2013, respectively, 147,000,000 and 147,000,000 shares issued and outstanding as of December 31, 2012 and</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2013, respectively)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747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Subscription receivable</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(7,282)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Total equity (deficit)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(6,558)</w:t>
            </w:r>
          </w:p>
        </w:tc>
        <w:tc>
          <w:tcPr>
            <w:tcW w:w="6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equity</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20,641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$ 57,459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5520"/>
              <w:spacing w:after="0"/>
              <w:rPr>
                <w:sz w:val="20"/>
                <w:szCs w:val="20"/>
                <w:color w:val="auto"/>
              </w:rPr>
            </w:pPr>
            <w:r>
              <w:rPr>
                <w:rFonts w:ascii="Arial" w:cs="Arial" w:eastAsia="Arial" w:hAnsi="Arial"/>
                <w:sz w:val="18"/>
                <w:szCs w:val="18"/>
                <w:color w:val="auto"/>
              </w:rPr>
              <w:t>F-42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jc w:val="center"/>
        <w:ind w:left="420" w:right="224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I CONDENSED FINANCIAL INFORMATION OF PARENT COMPANY - continued CONDENSED STATEMENTS OF OPERATIONS (In thousands of U.S. dollars, except share and share related data, or otherwise noted)</w:t>
      </w:r>
    </w:p>
    <w:p>
      <w:pPr>
        <w:spacing w:after="0" w:line="27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40"/>
              <w:spacing w:after="0"/>
              <w:rPr>
                <w:sz w:val="20"/>
                <w:szCs w:val="20"/>
                <w:color w:val="auto"/>
              </w:rPr>
            </w:pPr>
            <w:r>
              <w:rPr>
                <w:rFonts w:ascii="Arial" w:cs="Arial" w:eastAsia="Arial" w:hAnsi="Arial"/>
                <w:sz w:val="14"/>
                <w:szCs w:val="14"/>
                <w:color w:val="auto"/>
              </w:rPr>
              <w:t>For the years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and expenses:</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cost and expenses</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subsidiaries, VIE and VIE’s subsidiary</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(3,027)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Loss before income tax provision</w:t>
            </w:r>
          </w:p>
        </w:tc>
        <w:tc>
          <w:tcPr>
            <w:tcW w:w="4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(3,839)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(3,839)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preferred shareholders</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Net loss attributable to ordinary shareholders</w:t>
            </w:r>
          </w:p>
        </w:tc>
        <w:tc>
          <w:tcPr>
            <w:tcW w:w="4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(6,932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(17,446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580" w:type="dxa"/>
            <w:vAlign w:val="bottom"/>
            <w:gridSpan w:val="2"/>
          </w:tcPr>
          <w:p>
            <w:pPr>
              <w:jc w:val="right"/>
              <w:ind w:right="3490"/>
              <w:spacing w:after="0"/>
              <w:rPr>
                <w:sz w:val="20"/>
                <w:szCs w:val="20"/>
                <w:color w:val="auto"/>
              </w:rPr>
            </w:pPr>
            <w:r>
              <w:rPr>
                <w:rFonts w:ascii="Arial" w:cs="Arial" w:eastAsia="Arial" w:hAnsi="Arial"/>
                <w:sz w:val="18"/>
                <w:szCs w:val="18"/>
                <w:color w:val="auto"/>
              </w:rPr>
              <w:t>F-43</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ADDITIONAL INFORMATION - FINANCIAL STATEMENT SCHEDULE 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FINANCIAL INFORMATION OF PARENT COMPANY -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share related data)</w:t>
      </w:r>
    </w:p>
    <w:p>
      <w:pPr>
        <w:spacing w:after="0" w:line="287" w:lineRule="exact"/>
        <w:rPr>
          <w:sz w:val="20"/>
          <w:szCs w:val="20"/>
          <w:color w:val="auto"/>
        </w:rPr>
      </w:pPr>
    </w:p>
    <w:p>
      <w:pPr>
        <w:jc w:val="center"/>
        <w:ind w:left="9060"/>
        <w:spacing w:after="0"/>
        <w:rPr>
          <w:sz w:val="20"/>
          <w:szCs w:val="20"/>
          <w:color w:val="auto"/>
        </w:rPr>
      </w:pPr>
      <w:r>
        <w:rPr>
          <w:rFonts w:ascii="Arial" w:cs="Arial" w:eastAsia="Arial" w:hAnsi="Arial"/>
          <w:sz w:val="14"/>
          <w:szCs w:val="14"/>
          <w:color w:val="auto"/>
        </w:rPr>
        <w:t>For the years ended</w:t>
      </w:r>
    </w:p>
    <w:p>
      <w:pPr>
        <w:jc w:val="center"/>
        <w:ind w:left="9060"/>
        <w:spacing w:after="0" w:line="231" w:lineRule="auto"/>
        <w:rPr>
          <w:sz w:val="20"/>
          <w:szCs w:val="20"/>
          <w:color w:val="auto"/>
        </w:rPr>
      </w:pPr>
      <w:r>
        <w:rPr>
          <w:rFonts w:ascii="Arial" w:cs="Arial" w:eastAsia="Arial" w:hAnsi="Arial"/>
          <w:sz w:val="14"/>
          <w:szCs w:val="14"/>
          <w:color w:val="auto"/>
        </w:rPr>
        <w:t>December 31,</w:t>
      </w:r>
    </w:p>
    <w:tbl>
      <w:tblPr>
        <w:tblLayout w:type="fixed"/>
        <w:tblInd w:w="18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2012</w:t>
            </w: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$(3,839)</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Comprehensive loss attributable to Momo Technology Company Limited shareholders</w:t>
            </w:r>
          </w:p>
        </w:tc>
        <w:tc>
          <w:tcPr>
            <w:tcW w:w="1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(3,857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(9,145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5360"/>
              <w:spacing w:after="0"/>
              <w:rPr>
                <w:sz w:val="20"/>
                <w:szCs w:val="20"/>
                <w:color w:val="auto"/>
              </w:rPr>
            </w:pPr>
            <w:r>
              <w:rPr>
                <w:rFonts w:ascii="Arial" w:cs="Arial" w:eastAsia="Arial" w:hAnsi="Arial"/>
                <w:sz w:val="18"/>
                <w:szCs w:val="18"/>
                <w:color w:val="auto"/>
              </w:rPr>
              <w:t>F-44</w:t>
            </w:r>
          </w:p>
        </w:tc>
        <w:tc>
          <w:tcPr>
            <w:tcW w:w="1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7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jc w:val="center"/>
        <w:ind w:left="440" w:right="2260"/>
        <w:spacing w:after="0" w:line="281" w:lineRule="auto"/>
        <w:rPr>
          <w:sz w:val="20"/>
          <w:szCs w:val="20"/>
          <w:color w:val="auto"/>
        </w:rPr>
      </w:pPr>
      <w:r>
        <w:rPr>
          <w:rFonts w:ascii="Arial" w:cs="Arial" w:eastAsia="Arial" w:hAnsi="Arial"/>
          <w:sz w:val="17"/>
          <w:szCs w:val="17"/>
          <w:b w:val="1"/>
          <w:bCs w:val="1"/>
          <w:color w:val="auto"/>
        </w:rPr>
        <w:t>ADDITIONAL INFORMATION - FINANCIAL STATEMENT SCHEDULE I CONDENSED FINANCIAL INFORMATION OF PARENT COMPANY - continued CONDENSED STATEMENTS OF SHAREHOLDERS’ EQUITY (DEFICIT) (In thousands of U.S. dollars, except share and share related data)</w:t>
      </w:r>
    </w:p>
    <w:p>
      <w:pPr>
        <w:spacing w:after="0" w:line="26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20" w:type="dxa"/>
            <w:vAlign w:val="bottom"/>
            <w:gridSpan w:val="3"/>
            <w:vMerge w:val="restart"/>
          </w:tcPr>
          <w:p>
            <w:pPr>
              <w:ind w:left="420"/>
              <w:spacing w:after="0"/>
              <w:rPr>
                <w:sz w:val="20"/>
                <w:szCs w:val="20"/>
                <w:color w:val="auto"/>
              </w:rPr>
            </w:pPr>
            <w:r>
              <w:rPr>
                <w:rFonts w:ascii="Arial" w:cs="Arial" w:eastAsia="Arial" w:hAnsi="Arial"/>
                <w:sz w:val="14"/>
                <w:szCs w:val="14"/>
                <w:color w:val="auto"/>
                <w:w w:val="98"/>
              </w:rPr>
              <w:t>Ordinary shares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20" w:type="dxa"/>
            <w:vAlign w:val="bottom"/>
            <w:tcBorders>
              <w:bottom w:val="single" w:sz="8" w:color="auto"/>
            </w:tcBorders>
            <w:gridSpan w:val="3"/>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spacing w:after="0" w:line="149" w:lineRule="exact"/>
              <w:rPr>
                <w:sz w:val="20"/>
                <w:szCs w:val="20"/>
                <w:color w:val="auto"/>
              </w:rPr>
            </w:pPr>
            <w:r>
              <w:rPr>
                <w:rFonts w:ascii="Arial" w:cs="Arial" w:eastAsia="Arial" w:hAnsi="Arial"/>
                <w:sz w:val="14"/>
                <w:szCs w:val="14"/>
                <w:color w:val="auto"/>
              </w:rPr>
              <w:t>Additional</w:t>
            </w:r>
          </w:p>
        </w:tc>
        <w:tc>
          <w:tcPr>
            <w:tcW w:w="320" w:type="dxa"/>
            <w:vAlign w:val="bottom"/>
          </w:tcPr>
          <w:p>
            <w:pPr>
              <w:spacing w:after="0"/>
              <w:rPr>
                <w:sz w:val="8"/>
                <w:szCs w:val="8"/>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Subscription</w:t>
            </w:r>
          </w:p>
        </w:tc>
        <w:tc>
          <w:tcPr>
            <w:tcW w:w="140" w:type="dxa"/>
            <w:vAlign w:val="bottom"/>
          </w:tcPr>
          <w:p>
            <w:pPr>
              <w:spacing w:after="0"/>
              <w:rPr>
                <w:sz w:val="8"/>
                <w:szCs w:val="8"/>
                <w:color w:val="auto"/>
              </w:rPr>
            </w:pPr>
          </w:p>
        </w:tc>
        <w:tc>
          <w:tcPr>
            <w:tcW w:w="98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8"/>
                <w:szCs w:val="8"/>
                <w:color w:val="auto"/>
              </w:rPr>
            </w:pPr>
          </w:p>
        </w:tc>
        <w:tc>
          <w:tcPr>
            <w:tcW w:w="108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color w:val="auto"/>
                <w:w w:val="92"/>
              </w:rPr>
              <w:t>comprehensive</w:t>
            </w:r>
          </w:p>
        </w:tc>
        <w:tc>
          <w:tcPr>
            <w:tcW w:w="160" w:type="dxa"/>
            <w:vAlign w:val="bottom"/>
          </w:tcPr>
          <w:p>
            <w:pPr>
              <w:spacing w:after="0"/>
              <w:rPr>
                <w:sz w:val="8"/>
                <w:szCs w:val="8"/>
                <w:color w:val="auto"/>
              </w:rPr>
            </w:pPr>
          </w:p>
        </w:tc>
        <w:tc>
          <w:tcPr>
            <w:tcW w:w="8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Amount</w:t>
            </w:r>
          </w:p>
        </w:tc>
        <w:tc>
          <w:tcPr>
            <w:tcW w:w="3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4"/>
              </w:rPr>
              <w:t>paid-in capital</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receivable</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deficit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income (loss)</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8"/>
              </w:rPr>
              <w:t>deficit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2012</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147,000,000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155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7"/>
                <w:szCs w:val="17"/>
                <w:color w:val="auto"/>
                <w:w w:val="72"/>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(3,839)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592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Deemed dividend to preferred shareholders</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Balance as of December 31, 2012</w:t>
            </w:r>
          </w:p>
        </w:tc>
        <w:tc>
          <w:tcPr>
            <w:tcW w:w="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147,000,000</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86"/>
              </w:rPr>
              <w:t>747</w:t>
            </w: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w w:val="72"/>
              </w:rPr>
              <w:t>(15)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w w:val="86"/>
              </w:rPr>
              <w:t>963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preferred shareholders</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79"/>
              </w:rPr>
              <w:t>181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147,000,000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1,710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(24,728)</w:t>
            </w:r>
          </w:p>
        </w:tc>
        <w:tc>
          <w:tcPr>
            <w:tcW w:w="34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158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jc w:val="center"/>
        <w:ind w:left="440" w:right="226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I CONDENSED FINANCIAL INFORMATION OF PARENT COMPANY - continued CONDENSED STATEMENTS OF CASH FLOWS (In thousands of U.S. dollars, except share and share related data)</w:t>
      </w:r>
    </w:p>
    <w:p>
      <w:pPr>
        <w:spacing w:after="0" w:line="287" w:lineRule="exact"/>
        <w:rPr>
          <w:sz w:val="20"/>
          <w:szCs w:val="20"/>
          <w:color w:val="auto"/>
        </w:rPr>
      </w:pPr>
    </w:p>
    <w:p>
      <w:pPr>
        <w:jc w:val="center"/>
        <w:ind w:left="8960"/>
        <w:spacing w:after="0"/>
        <w:rPr>
          <w:sz w:val="20"/>
          <w:szCs w:val="20"/>
          <w:color w:val="auto"/>
        </w:rPr>
      </w:pPr>
      <w:r>
        <w:rPr>
          <w:rFonts w:ascii="Arial" w:cs="Arial" w:eastAsia="Arial" w:hAnsi="Arial"/>
          <w:sz w:val="14"/>
          <w:szCs w:val="14"/>
          <w:color w:val="auto"/>
        </w:rPr>
        <w:t>For the years ended</w:t>
      </w:r>
    </w:p>
    <w:p>
      <w:pPr>
        <w:jc w:val="center"/>
        <w:ind w:left="8960"/>
        <w:spacing w:after="0" w:line="231" w:lineRule="auto"/>
        <w:rPr>
          <w:sz w:val="20"/>
          <w:szCs w:val="20"/>
          <w:color w:val="auto"/>
        </w:rPr>
      </w:pPr>
      <w:r>
        <w:rPr>
          <w:rFonts w:ascii="Arial" w:cs="Arial" w:eastAsia="Arial" w:hAnsi="Arial"/>
          <w:sz w:val="14"/>
          <w:szCs w:val="14"/>
          <w:color w:val="auto"/>
        </w:rPr>
        <w:t>December 31,</w:t>
      </w:r>
    </w:p>
    <w:tbl>
      <w:tblPr>
        <w:tblLayout w:type="fixed"/>
        <w:tblInd w:w="1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400" w:type="dxa"/>
            <w:vAlign w:val="bottom"/>
            <w:gridSpan w:val="3"/>
          </w:tcPr>
          <w:p>
            <w:pPr>
              <w:jc w:val="right"/>
              <w:ind w:right="280"/>
              <w:spacing w:after="0"/>
              <w:rPr>
                <w:sz w:val="20"/>
                <w:szCs w:val="20"/>
                <w:color w:val="auto"/>
              </w:rPr>
            </w:pPr>
            <w:r>
              <w:rPr>
                <w:rFonts w:ascii="Arial" w:cs="Arial" w:eastAsia="Arial" w:hAnsi="Arial"/>
                <w:sz w:val="18"/>
                <w:szCs w:val="18"/>
                <w:color w:val="auto"/>
              </w:rPr>
              <w:t>$ (3,839)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Share-based compensation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Equity in loss of subsidiaries, VIE and VIE’s subsidiary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Amounts due from related parties</w:t>
            </w:r>
          </w:p>
        </w:tc>
        <w:tc>
          <w:tcPr>
            <w:tcW w:w="2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4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to a related party for a cost-method investment</w:t>
            </w:r>
          </w:p>
        </w:tc>
        <w:tc>
          <w:tcPr>
            <w:tcW w:w="2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Capital investment in subsidiaries</w:t>
            </w:r>
          </w:p>
        </w:tc>
        <w:tc>
          <w:tcPr>
            <w:tcW w:w="14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(10,000)</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redeemable participating preferred shares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23,551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45,000</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4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year</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17,829</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year</w:t>
            </w:r>
          </w:p>
        </w:tc>
        <w:tc>
          <w:tcPr>
            <w:tcW w:w="1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17,829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5340"/>
              <w:spacing w:after="0"/>
              <w:rPr>
                <w:sz w:val="20"/>
                <w:szCs w:val="20"/>
                <w:color w:val="auto"/>
              </w:rPr>
            </w:pPr>
            <w:r>
              <w:rPr>
                <w:rFonts w:ascii="Arial" w:cs="Arial" w:eastAsia="Arial" w:hAnsi="Arial"/>
                <w:sz w:val="18"/>
                <w:szCs w:val="18"/>
                <w:color w:val="auto"/>
              </w:rPr>
              <w:t>F-46</w:t>
            </w:r>
          </w:p>
        </w:tc>
        <w:tc>
          <w:tcPr>
            <w:tcW w:w="1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MOMO TECHNOLOGY COMPANY LIMITED</w:t>
      </w:r>
    </w:p>
    <w:p>
      <w:pPr>
        <w:spacing w:after="0" w:line="117" w:lineRule="exact"/>
        <w:rPr>
          <w:sz w:val="20"/>
          <w:szCs w:val="20"/>
          <w:color w:val="auto"/>
        </w:rPr>
      </w:pPr>
    </w:p>
    <w:p>
      <w:pPr>
        <w:jc w:val="center"/>
        <w:ind w:left="320" w:right="238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I CONDENSED FINANCIAL INFORMATION OF PARENT COMPANY - continued NOTE TO THE FINANCIAL STATEMENT (In thousands of U.S. dollars, except share and share related data)</w:t>
      </w:r>
    </w:p>
    <w:p>
      <w:pPr>
        <w:spacing w:after="0" w:line="207"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PREPARATION</w:t>
      </w:r>
    </w:p>
    <w:p>
      <w:pPr>
        <w:spacing w:after="0" w:line="121"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condensed financial information of the parent company has been prepared using the same accounting policies as set out in the Group’s consolidated financial statement except that the parent company used the equity method to account for investments in its subsidiaries, VIE and VIE’s subsidiary.</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SUBSIDIARIES, VIE AND VIE’S SUBSIDIARY</w:t>
      </w:r>
    </w:p>
    <w:p>
      <w:pPr>
        <w:spacing w:after="0" w:line="121"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parent company and its subsidiaries, VIE and VIE’s subsidiary were included in the consolidated financial statements where inter-company balances and transactions were eliminated upon consolidation. For purpose of the parent company’s stand-alone financial statements, its investments in subsidiaries, VIE and VIE’s subsidiary were reported using the equity method of accounting. The parent company’s share of loss from its subsidiaries, VIE and VIE’s subsidiary were reported as share of loss of subsidiaries, VIE and VIE’s subsidiary in the accompanying parent company financial statements. Ordinarily under the equity method,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I, the parent company has continued to reflect its share, based on its proportionate interest, of the losses of subsidiaries, VIE and VIE’s subsidiary regardless of the carrying value of the investment even though the parent company is not obligated to provide continuing support or fund losses.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60"/>
          </w:cols>
          <w:pgMar w:left="240" w:top="460" w:right="2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780"/>
              <w:spacing w:after="0"/>
              <w:rPr>
                <w:sz w:val="20"/>
                <w:szCs w:val="20"/>
                <w:color w:val="auto"/>
              </w:rPr>
            </w:pPr>
            <w:r>
              <w:rPr>
                <w:rFonts w:ascii="Arial" w:cs="Arial" w:eastAsia="Arial" w:hAnsi="Arial"/>
                <w:sz w:val="14"/>
                <w:szCs w:val="14"/>
                <w:color w:val="auto"/>
              </w:rPr>
              <w:t>As of</w:t>
            </w:r>
          </w:p>
        </w:tc>
        <w:tc>
          <w:tcPr>
            <w:tcW w:w="840" w:type="dxa"/>
            <w:vAlign w:val="bottom"/>
          </w:tcPr>
          <w:p>
            <w:pPr>
              <w:jc w:val="center"/>
              <w:spacing w:after="0"/>
              <w:rPr>
                <w:sz w:val="20"/>
                <w:szCs w:val="20"/>
                <w:color w:val="auto"/>
              </w:rPr>
            </w:pPr>
            <w:r>
              <w:rPr>
                <w:rFonts w:ascii="Arial" w:cs="Arial" w:eastAsia="Arial" w:hAnsi="Arial"/>
                <w:sz w:val="14"/>
                <w:szCs w:val="14"/>
                <w:color w:val="auto"/>
              </w:rPr>
              <w:t>As of</w:t>
            </w:r>
          </w:p>
        </w:tc>
        <w:tc>
          <w:tcPr>
            <w:tcW w:w="6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0"/>
              </w:rPr>
              <w:t>December 31,</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September 30,</w:t>
            </w:r>
          </w:p>
        </w:tc>
        <w:tc>
          <w:tcPr>
            <w:tcW w:w="6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80"/>
              <w:spacing w:after="0"/>
              <w:rPr>
                <w:sz w:val="20"/>
                <w:szCs w:val="20"/>
                <w:color w:val="auto"/>
              </w:rPr>
            </w:pPr>
            <w:r>
              <w:rPr>
                <w:rFonts w:ascii="Arial" w:cs="Arial" w:eastAsia="Arial" w:hAnsi="Arial"/>
                <w:sz w:val="14"/>
                <w:szCs w:val="14"/>
                <w:color w:val="auto"/>
                <w:w w:val="89"/>
              </w:rPr>
              <w:t>2013</w:t>
            </w:r>
          </w:p>
        </w:tc>
        <w:tc>
          <w:tcPr>
            <w:tcW w:w="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1440" w:type="dxa"/>
            <w:vAlign w:val="bottom"/>
            <w:gridSpan w:val="2"/>
          </w:tcPr>
          <w:p>
            <w:pPr>
              <w:jc w:val="center"/>
              <w:ind w:left="520"/>
              <w:spacing w:after="0"/>
              <w:rPr>
                <w:sz w:val="20"/>
                <w:szCs w:val="20"/>
                <w:color w:val="auto"/>
              </w:rPr>
            </w:pPr>
            <w:r>
              <w:rPr>
                <w:rFonts w:ascii="Arial" w:cs="Arial" w:eastAsia="Arial" w:hAnsi="Arial"/>
                <w:sz w:val="14"/>
                <w:szCs w:val="14"/>
                <w:color w:val="auto"/>
                <w:w w:val="89"/>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(Pro forma)</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73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55,374</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162,206</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162,206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40" w:type="dxa"/>
            <w:vAlign w:val="bottom"/>
          </w:tcPr>
          <w:p>
            <w:pPr>
              <w:ind w:left="320"/>
              <w:spacing w:after="0"/>
              <w:rPr>
                <w:sz w:val="20"/>
                <w:szCs w:val="20"/>
                <w:color w:val="auto"/>
              </w:rPr>
            </w:pPr>
            <w:r>
              <w:rPr>
                <w:rFonts w:ascii="Arial" w:cs="Arial" w:eastAsia="Arial" w:hAnsi="Arial"/>
                <w:sz w:val="16"/>
                <w:szCs w:val="16"/>
                <w:color w:val="auto"/>
                <w:w w:val="98"/>
              </w:rPr>
              <w:t>Accounts receivable, net of allowance for doubtful accounts of $nil and $nil as of December 31, 2013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and September 30, 2014, respectively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1,935</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5,001</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5,001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Amount due from a related party</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w:t>
            </w:r>
          </w:p>
        </w:tc>
        <w:tc>
          <w:tcPr>
            <w:tcW w:w="6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6,652</w:t>
            </w:r>
          </w:p>
        </w:tc>
        <w:tc>
          <w:tcPr>
            <w:tcW w:w="6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58,711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173,859</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173,859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3,363</w:t>
            </w:r>
          </w:p>
        </w:tc>
        <w:tc>
          <w:tcPr>
            <w:tcW w:w="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8,934</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8,934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Rental deposits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Cost-method investments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6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6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63,025</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184,867</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184,867</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6"/>
                <w:szCs w:val="16"/>
                <w:color w:val="auto"/>
              </w:rPr>
              <w:t>Liabilities, mezzanine equity and equity</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40" w:type="dxa"/>
            <w:vAlign w:val="bottom"/>
          </w:tcPr>
          <w:p>
            <w:pPr>
              <w:ind w:left="320"/>
              <w:spacing w:after="0"/>
              <w:rPr>
                <w:sz w:val="20"/>
                <w:szCs w:val="20"/>
                <w:color w:val="auto"/>
              </w:rPr>
            </w:pPr>
            <w:r>
              <w:rPr>
                <w:rFonts w:ascii="Arial" w:cs="Arial" w:eastAsia="Arial" w:hAnsi="Arial"/>
                <w:sz w:val="16"/>
                <w:szCs w:val="16"/>
                <w:color w:val="auto"/>
              </w:rPr>
              <w:t>Accounts payable (including accounts payable of the consolidated VIE without recourse to the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Company of $125 and $2,531 as of December 31, 2013 and September 30, 2014, respectively)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344</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4,436</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4,436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Deferred revenue (including deferred revenue of the consolidated VIE without recourse to the Company</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of $3,714 and $14,050 as of December 31, 2013 and September 30, 2014, respectively)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14,050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40" w:type="dxa"/>
            <w:vAlign w:val="bottom"/>
          </w:tcPr>
          <w:p>
            <w:pPr>
              <w:ind w:left="320"/>
              <w:spacing w:after="0"/>
              <w:rPr>
                <w:sz w:val="20"/>
                <w:szCs w:val="20"/>
                <w:color w:val="auto"/>
              </w:rPr>
            </w:pPr>
            <w:r>
              <w:rPr>
                <w:rFonts w:ascii="Arial" w:cs="Arial" w:eastAsia="Arial" w:hAnsi="Arial"/>
                <w:sz w:val="16"/>
                <w:szCs w:val="16"/>
                <w:color w:val="auto"/>
                <w:w w:val="97"/>
              </w:rPr>
              <w:t>Accrued expenses and other current liabilities (including accrued expenses and other current liabilities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w w:val="95"/>
              </w:rPr>
              <w:t>of the consolidated VIE without recourse to the Company of $684 and $986 as of December 31, 2013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and September 30, 2014, respectively)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1,508</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5,199</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5,199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Amount due to related parties (including amount due to related parties of the consolidated VIE without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recourse to the Company of $nil and $nil as of December 31, 2013 and September 30, 2014,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6,450</w:t>
            </w:r>
          </w:p>
        </w:tc>
        <w:tc>
          <w:tcPr>
            <w:tcW w:w="6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w:t>
            </w:r>
          </w:p>
        </w:tc>
        <w:tc>
          <w:tcPr>
            <w:tcW w:w="6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30,135</w:t>
            </w:r>
          </w:p>
        </w:tc>
        <w:tc>
          <w:tcPr>
            <w:tcW w:w="6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5,566</w:t>
            </w:r>
          </w:p>
        </w:tc>
        <w:tc>
          <w:tcPr>
            <w:tcW w:w="6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30,135</w:t>
            </w:r>
          </w:p>
        </w:tc>
        <w:tc>
          <w:tcPr>
            <w:tcW w:w="6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30,135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color w:val="auto"/>
                <w:w w:val="93"/>
              </w:rPr>
              <w:t>As of</w:t>
            </w:r>
          </w:p>
        </w:tc>
        <w:tc>
          <w:tcPr>
            <w:tcW w:w="28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color w:val="auto"/>
              </w:rPr>
              <w:t>As of</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r>
      <w:tr>
        <w:trPr>
          <w:trHeight w:val="149"/>
        </w:trPr>
        <w:tc>
          <w:tcPr>
            <w:tcW w:w="7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0"/>
              </w:rPr>
              <w:t>December 31,</w:t>
            </w:r>
          </w:p>
        </w:tc>
        <w:tc>
          <w:tcPr>
            <w:tcW w:w="28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1"/>
              </w:rPr>
              <w:t>September 30,</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75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6"/>
              </w:rPr>
              <w:t>2013</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left="196"/>
              <w:spacing w:after="0"/>
              <w:rPr>
                <w:sz w:val="20"/>
                <w:szCs w:val="20"/>
                <w:color w:val="auto"/>
              </w:rPr>
            </w:pPr>
            <w:r>
              <w:rPr>
                <w:rFonts w:ascii="Arial" w:cs="Arial" w:eastAsia="Arial" w:hAnsi="Arial"/>
                <w:sz w:val="14"/>
                <w:szCs w:val="14"/>
                <w:color w:val="auto"/>
                <w:w w:val="89"/>
              </w:rPr>
              <w:t>2014</w:t>
            </w:r>
          </w:p>
        </w:tc>
        <w:tc>
          <w:tcPr>
            <w:tcW w:w="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(Pro forma)</w:t>
            </w:r>
          </w:p>
        </w:tc>
        <w:tc>
          <w:tcPr>
            <w:tcW w:w="100" w:type="dxa"/>
            <w:vAlign w:val="bottom"/>
          </w:tcPr>
          <w:p>
            <w:pPr>
              <w:spacing w:after="0"/>
              <w:rPr>
                <w:sz w:val="12"/>
                <w:szCs w:val="12"/>
                <w:color w:val="auto"/>
              </w:rPr>
            </w:pPr>
          </w:p>
        </w:tc>
      </w:tr>
      <w:tr>
        <w:trPr>
          <w:trHeight w:val="203"/>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(Note13)</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Arial" w:cs="Arial" w:eastAsia="Arial" w:hAnsi="Arial"/>
                <w:sz w:val="17"/>
                <w:szCs w:val="17"/>
                <w:color w:val="auto"/>
              </w:rPr>
              <w:t>Mezzanine equity</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7580" w:type="dxa"/>
            <w:vAlign w:val="bottom"/>
            <w:shd w:val="clear" w:color="auto" w:fill="CCEEFF"/>
          </w:tcPr>
          <w:p>
            <w:pPr>
              <w:ind w:left="360"/>
              <w:spacing w:after="0" w:line="185" w:lineRule="exact"/>
              <w:rPr>
                <w:sz w:val="20"/>
                <w:szCs w:val="20"/>
                <w:color w:val="auto"/>
              </w:rPr>
            </w:pPr>
            <w:r>
              <w:rPr>
                <w:rFonts w:ascii="Arial" w:cs="Arial" w:eastAsia="Arial" w:hAnsi="Arial"/>
                <w:sz w:val="17"/>
                <w:szCs w:val="17"/>
                <w:color w:val="auto"/>
              </w:rPr>
              <w:t>Series A-1 and Series A-2 convertible redeemable participating preferred shares ($0.0001 par</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value; 38,480,677 and 31,181,820 shares authorized as of December 31, 2013 and</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6"/>
              </w:rPr>
              <w:t>September 30, 2014, respectively; 38,480,677 and 31,181,820 shares issued and outstanding as</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of December 31, 2013 and September 30, 2014, respectively; liquidation value of $4,260 and</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$3,848 as of December 31, 2013 and September 30, 2014, respectively)</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2,218</w:t>
            </w:r>
          </w:p>
        </w:tc>
        <w:tc>
          <w:tcPr>
            <w:tcW w:w="3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2,235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93"/>
        </w:trPr>
        <w:tc>
          <w:tcPr>
            <w:tcW w:w="7580" w:type="dxa"/>
            <w:vAlign w:val="bottom"/>
          </w:tcPr>
          <w:p>
            <w:pPr>
              <w:ind w:left="360"/>
              <w:spacing w:after="0"/>
              <w:rPr>
                <w:sz w:val="20"/>
                <w:szCs w:val="20"/>
                <w:color w:val="auto"/>
              </w:rPr>
            </w:pPr>
            <w:r>
              <w:rPr>
                <w:rFonts w:ascii="Arial" w:cs="Arial" w:eastAsia="Arial" w:hAnsi="Arial"/>
                <w:sz w:val="17"/>
                <w:szCs w:val="17"/>
                <w:color w:val="auto"/>
                <w:w w:val="98"/>
              </w:rPr>
              <w:t>Series A-3 convertible redeemable participating preferred shares ($0.0001 par value; 19,797,980</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580" w:type="dxa"/>
            <w:vAlign w:val="bottom"/>
          </w:tcPr>
          <w:p>
            <w:pPr>
              <w:ind w:left="520"/>
              <w:spacing w:after="0"/>
              <w:rPr>
                <w:sz w:val="20"/>
                <w:szCs w:val="20"/>
                <w:color w:val="auto"/>
              </w:rPr>
            </w:pPr>
            <w:r>
              <w:rPr>
                <w:rFonts w:ascii="Arial" w:cs="Arial" w:eastAsia="Arial" w:hAnsi="Arial"/>
                <w:sz w:val="17"/>
                <w:szCs w:val="17"/>
                <w:color w:val="auto"/>
                <w:w w:val="98"/>
              </w:rPr>
              <w:t>shares authorized as of December 31, 2013 and September 30, 2014, respectively; 19,797,980</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tcPr>
          <w:p>
            <w:pPr>
              <w:ind w:left="520"/>
              <w:spacing w:after="0"/>
              <w:rPr>
                <w:sz w:val="20"/>
                <w:szCs w:val="20"/>
                <w:color w:val="auto"/>
              </w:rPr>
            </w:pPr>
            <w:r>
              <w:rPr>
                <w:rFonts w:ascii="Arial" w:cs="Arial" w:eastAsia="Arial" w:hAnsi="Arial"/>
                <w:sz w:val="17"/>
                <w:szCs w:val="17"/>
                <w:color w:val="auto"/>
                <w:w w:val="97"/>
              </w:rPr>
              <w:t>shares issued and outstanding as of December 31, 2013 and September 30, 2014, respectively;</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tcPr>
          <w:p>
            <w:pPr>
              <w:ind w:left="520"/>
              <w:spacing w:after="0"/>
              <w:rPr>
                <w:sz w:val="20"/>
                <w:szCs w:val="20"/>
                <w:color w:val="auto"/>
              </w:rPr>
            </w:pPr>
            <w:r>
              <w:rPr>
                <w:rFonts w:ascii="Arial" w:cs="Arial" w:eastAsia="Arial" w:hAnsi="Arial"/>
                <w:sz w:val="17"/>
                <w:szCs w:val="17"/>
                <w:color w:val="auto"/>
              </w:rPr>
              <w:t>liquidation value of $4,512 and $4,779 as of December 31, 2013 and September 30, 2014,</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80" w:type="dxa"/>
            <w:vAlign w:val="bottom"/>
          </w:tcPr>
          <w:p>
            <w:pPr>
              <w:ind w:left="520"/>
              <w:spacing w:after="0"/>
              <w:rPr>
                <w:sz w:val="20"/>
                <w:szCs w:val="20"/>
                <w:color w:val="auto"/>
              </w:rPr>
            </w:pPr>
            <w:r>
              <w:rPr>
                <w:rFonts w:ascii="Arial" w:cs="Arial" w:eastAsia="Arial" w:hAnsi="Arial"/>
                <w:sz w:val="17"/>
                <w:szCs w:val="17"/>
                <w:color w:val="auto"/>
              </w:rPr>
              <w:t>respectively)</w:t>
            </w:r>
          </w:p>
        </w:tc>
        <w:tc>
          <w:tcPr>
            <w:tcW w:w="840" w:type="dxa"/>
            <w:vAlign w:val="bottom"/>
            <w:gridSpan w:val="3"/>
          </w:tcPr>
          <w:p>
            <w:pPr>
              <w:jc w:val="right"/>
              <w:ind w:right="20"/>
              <w:spacing w:after="0"/>
              <w:rPr>
                <w:sz w:val="20"/>
                <w:szCs w:val="20"/>
                <w:color w:val="auto"/>
              </w:rPr>
            </w:pPr>
            <w:r>
              <w:rPr>
                <w:rFonts w:ascii="Arial" w:cs="Arial" w:eastAsia="Arial" w:hAnsi="Arial"/>
                <w:sz w:val="17"/>
                <w:szCs w:val="17"/>
                <w:color w:val="auto"/>
              </w:rPr>
              <w:t>4,774</w:t>
            </w:r>
          </w:p>
        </w:tc>
        <w:tc>
          <w:tcPr>
            <w:tcW w:w="320" w:type="dxa"/>
            <w:vAlign w:val="bottom"/>
          </w:tcPr>
          <w:p>
            <w:pPr>
              <w:spacing w:after="0"/>
              <w:rPr>
                <w:sz w:val="18"/>
                <w:szCs w:val="18"/>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7"/>
                <w:szCs w:val="17"/>
                <w:color w:val="auto"/>
              </w:rPr>
              <w:t>5,192</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112"/>
        </w:trPr>
        <w:tc>
          <w:tcPr>
            <w:tcW w:w="7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85"/>
        </w:trPr>
        <w:tc>
          <w:tcPr>
            <w:tcW w:w="7580" w:type="dxa"/>
            <w:vAlign w:val="bottom"/>
            <w:shd w:val="clear" w:color="auto" w:fill="CCEEFF"/>
          </w:tcPr>
          <w:p>
            <w:pPr>
              <w:ind w:left="360"/>
              <w:spacing w:after="0" w:line="185" w:lineRule="exact"/>
              <w:rPr>
                <w:sz w:val="20"/>
                <w:szCs w:val="20"/>
                <w:color w:val="auto"/>
              </w:rPr>
            </w:pPr>
            <w:r>
              <w:rPr>
                <w:rFonts w:ascii="Arial" w:cs="Arial" w:eastAsia="Arial" w:hAnsi="Arial"/>
                <w:sz w:val="17"/>
                <w:szCs w:val="17"/>
                <w:color w:val="auto"/>
              </w:rPr>
              <w:t>Series B convertible redeemable participating preferred shares ($0.0001 par value; 70,037,013</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8"/>
              </w:rPr>
              <w:t>shares authorized as of December 31, 2013 and September 30, 2014; respectively; 70,037,013</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7"/>
              </w:rPr>
              <w:t>shares issued and outstanding as of December 31, 2013 and September 30, 2014, respectively;</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liquidation value of $25,661 and $27,176 as of December 31, 2013 and September 30, 2014,</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respectively)</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26,892</w:t>
            </w:r>
          </w:p>
        </w:tc>
        <w:tc>
          <w:tcPr>
            <w:tcW w:w="3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29,285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93"/>
        </w:trPr>
        <w:tc>
          <w:tcPr>
            <w:tcW w:w="7580" w:type="dxa"/>
            <w:vAlign w:val="bottom"/>
          </w:tcPr>
          <w:p>
            <w:pPr>
              <w:ind w:left="360"/>
              <w:spacing w:after="0"/>
              <w:rPr>
                <w:sz w:val="20"/>
                <w:szCs w:val="20"/>
                <w:color w:val="auto"/>
              </w:rPr>
            </w:pPr>
            <w:r>
              <w:rPr>
                <w:rFonts w:ascii="Arial" w:cs="Arial" w:eastAsia="Arial" w:hAnsi="Arial"/>
                <w:sz w:val="17"/>
                <w:szCs w:val="17"/>
                <w:color w:val="auto"/>
              </w:rPr>
              <w:t>Series C convertible redeemable participating preferred shares ($0.0001 par value; 36,008,642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580" w:type="dxa"/>
            <w:vAlign w:val="bottom"/>
          </w:tcPr>
          <w:p>
            <w:pPr>
              <w:ind w:left="520"/>
              <w:spacing w:after="0"/>
              <w:rPr>
                <w:sz w:val="20"/>
                <w:szCs w:val="20"/>
                <w:color w:val="auto"/>
              </w:rPr>
            </w:pPr>
            <w:r>
              <w:rPr>
                <w:rFonts w:ascii="Arial" w:cs="Arial" w:eastAsia="Arial" w:hAnsi="Arial"/>
                <w:sz w:val="17"/>
                <w:szCs w:val="17"/>
                <w:color w:val="auto"/>
                <w:w w:val="96"/>
              </w:rPr>
              <w:t>shares authorized as of December 31, 2013 and September 30, 2014; 36,008,642 shares issued</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tcPr>
          <w:p>
            <w:pPr>
              <w:ind w:left="520"/>
              <w:spacing w:after="0"/>
              <w:rPr>
                <w:sz w:val="20"/>
                <w:szCs w:val="20"/>
                <w:color w:val="auto"/>
              </w:rPr>
            </w:pPr>
            <w:r>
              <w:rPr>
                <w:rFonts w:ascii="Arial" w:cs="Arial" w:eastAsia="Arial" w:hAnsi="Arial"/>
                <w:sz w:val="17"/>
                <w:szCs w:val="17"/>
                <w:color w:val="auto"/>
              </w:rPr>
              <w:t>and outstanding as of December 31, 2013 and September 30, 2014, respectively; liquidation</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80" w:type="dxa"/>
            <w:vAlign w:val="bottom"/>
          </w:tcPr>
          <w:p>
            <w:pPr>
              <w:ind w:left="520"/>
              <w:spacing w:after="0"/>
              <w:rPr>
                <w:sz w:val="20"/>
                <w:szCs w:val="20"/>
                <w:color w:val="auto"/>
              </w:rPr>
            </w:pPr>
            <w:r>
              <w:rPr>
                <w:rFonts w:ascii="Arial" w:cs="Arial" w:eastAsia="Arial" w:hAnsi="Arial"/>
                <w:sz w:val="17"/>
                <w:szCs w:val="17"/>
                <w:color w:val="auto"/>
                <w:w w:val="98"/>
              </w:rPr>
              <w:t>value of $59,240 and $62,021 as of December 31, 2013 and September 30, 2014, respectively)</w:t>
            </w:r>
          </w:p>
        </w:tc>
        <w:tc>
          <w:tcPr>
            <w:tcW w:w="840" w:type="dxa"/>
            <w:vAlign w:val="bottom"/>
            <w:gridSpan w:val="3"/>
          </w:tcPr>
          <w:p>
            <w:pPr>
              <w:jc w:val="right"/>
              <w:ind w:right="20"/>
              <w:spacing w:after="0"/>
              <w:rPr>
                <w:sz w:val="20"/>
                <w:szCs w:val="20"/>
                <w:color w:val="auto"/>
              </w:rPr>
            </w:pPr>
            <w:r>
              <w:rPr>
                <w:rFonts w:ascii="Arial" w:cs="Arial" w:eastAsia="Arial" w:hAnsi="Arial"/>
                <w:sz w:val="17"/>
                <w:szCs w:val="17"/>
                <w:color w:val="auto"/>
              </w:rPr>
              <w:t>46,435</w:t>
            </w:r>
          </w:p>
        </w:tc>
        <w:tc>
          <w:tcPr>
            <w:tcW w:w="320" w:type="dxa"/>
            <w:vAlign w:val="bottom"/>
          </w:tcPr>
          <w:p>
            <w:pPr>
              <w:spacing w:after="0"/>
              <w:rPr>
                <w:sz w:val="18"/>
                <w:szCs w:val="18"/>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7"/>
                <w:szCs w:val="17"/>
                <w:color w:val="auto"/>
              </w:rPr>
              <w:t>50,693</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112"/>
        </w:trPr>
        <w:tc>
          <w:tcPr>
            <w:tcW w:w="7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85"/>
        </w:trPr>
        <w:tc>
          <w:tcPr>
            <w:tcW w:w="7580" w:type="dxa"/>
            <w:vAlign w:val="bottom"/>
            <w:shd w:val="clear" w:color="auto" w:fill="CCEEFF"/>
          </w:tcPr>
          <w:p>
            <w:pPr>
              <w:ind w:left="360"/>
              <w:spacing w:after="0" w:line="185" w:lineRule="exact"/>
              <w:rPr>
                <w:sz w:val="20"/>
                <w:szCs w:val="20"/>
                <w:color w:val="auto"/>
              </w:rPr>
            </w:pPr>
            <w:r>
              <w:rPr>
                <w:rFonts w:ascii="Arial" w:cs="Arial" w:eastAsia="Arial" w:hAnsi="Arial"/>
                <w:sz w:val="17"/>
                <w:szCs w:val="17"/>
                <w:color w:val="auto"/>
              </w:rPr>
              <w:t>Series D convertible redeemable participating preferred shares ($0.0001 par value; nil and</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8"/>
              </w:rPr>
              <w:t>43,693,356 shares authorized as of December 31, 2013 and September 30, 2014, respectively;</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7"/>
              </w:rPr>
              <w:t>nil and 43,693,356 shares issued and outstanding as of December 31, 2013 and September 30,</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2014, respectively; liquidation value of $nil and $282,747 as of December 31, 2013 and</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September 30, 2014, respectively)</w:t>
            </w: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223,309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7580" w:type="dxa"/>
            <w:vAlign w:val="bottom"/>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7580" w:type="dxa"/>
            <w:vAlign w:val="bottom"/>
            <w:shd w:val="clear" w:color="auto" w:fill="CCEEFF"/>
          </w:tcPr>
          <w:p>
            <w:pPr>
              <w:ind w:left="360"/>
              <w:spacing w:after="0" w:line="185" w:lineRule="exact"/>
              <w:rPr>
                <w:sz w:val="20"/>
                <w:szCs w:val="20"/>
                <w:color w:val="auto"/>
              </w:rPr>
            </w:pPr>
            <w:r>
              <w:rPr>
                <w:rFonts w:ascii="Arial" w:cs="Arial" w:eastAsia="Arial" w:hAnsi="Arial"/>
                <w:sz w:val="17"/>
                <w:szCs w:val="17"/>
                <w:color w:val="auto"/>
              </w:rPr>
              <w:t>Ordinary shares ($0.0001 par value; 835,675,688 and 799,281,189 shares authorized as of</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December 31, 2013 and September 30, 2014, respectively, 147,000,000 and 131,348,411</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758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7"/>
              </w:rPr>
              <w:t>shares issued and outstanding as of December 31, 2013 and September 30, 2014, respectively)</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15</w:t>
            </w:r>
          </w:p>
        </w:tc>
        <w:tc>
          <w:tcPr>
            <w:tcW w:w="3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15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r>
      <w:tr>
        <w:trPr>
          <w:trHeight w:val="203"/>
        </w:trPr>
        <w:tc>
          <w:tcPr>
            <w:tcW w:w="7580" w:type="dxa"/>
            <w:vAlign w:val="bottom"/>
          </w:tcPr>
          <w:p>
            <w:pPr>
              <w:ind w:left="360"/>
              <w:spacing w:after="0"/>
              <w:rPr>
                <w:sz w:val="20"/>
                <w:szCs w:val="20"/>
                <w:color w:val="auto"/>
              </w:rPr>
            </w:pPr>
            <w:r>
              <w:rPr>
                <w:rFonts w:ascii="Arial" w:cs="Arial" w:eastAsia="Arial" w:hAnsi="Arial"/>
                <w:sz w:val="17"/>
                <w:szCs w:val="17"/>
                <w:color w:val="auto"/>
              </w:rPr>
              <w:t>Treasury stock</w:t>
            </w:r>
          </w:p>
        </w:tc>
        <w:tc>
          <w:tcPr>
            <w:tcW w:w="20" w:type="dxa"/>
            <w:vAlign w:val="bottom"/>
          </w:tcPr>
          <w:p>
            <w:pPr>
              <w:spacing w:after="0"/>
              <w:rPr>
                <w:sz w:val="17"/>
                <w:szCs w:val="17"/>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740" w:type="dxa"/>
            <w:vAlign w:val="bottom"/>
            <w:gridSpan w:val="3"/>
          </w:tcPr>
          <w:p>
            <w:pPr>
              <w:jc w:val="right"/>
              <w:ind w:right="560"/>
              <w:spacing w:after="0"/>
              <w:rPr>
                <w:sz w:val="20"/>
                <w:szCs w:val="20"/>
                <w:color w:val="auto"/>
              </w:rPr>
            </w:pPr>
            <w:r>
              <w:rPr>
                <w:rFonts w:ascii="Arial" w:cs="Arial" w:eastAsia="Arial" w:hAnsi="Arial"/>
                <w:sz w:val="17"/>
                <w:szCs w:val="17"/>
                <w:color w:val="auto"/>
              </w:rPr>
              <w:t>(64,494)</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(64,494)</w:t>
            </w: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Additional paid-in capital</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1,710</w:t>
            </w:r>
          </w:p>
        </w:tc>
        <w:tc>
          <w:tcPr>
            <w:tcW w:w="32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5,919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316,613</w:t>
            </w:r>
          </w:p>
        </w:tc>
      </w:tr>
      <w:tr>
        <w:trPr>
          <w:trHeight w:val="203"/>
        </w:trPr>
        <w:tc>
          <w:tcPr>
            <w:tcW w:w="7580" w:type="dxa"/>
            <w:vAlign w:val="bottom"/>
          </w:tcPr>
          <w:p>
            <w:pPr>
              <w:ind w:left="360"/>
              <w:spacing w:after="0"/>
              <w:rPr>
                <w:sz w:val="20"/>
                <w:szCs w:val="20"/>
                <w:color w:val="auto"/>
              </w:rPr>
            </w:pPr>
            <w:r>
              <w:rPr>
                <w:rFonts w:ascii="Arial" w:cs="Arial" w:eastAsia="Arial" w:hAnsi="Arial"/>
                <w:sz w:val="17"/>
                <w:szCs w:val="17"/>
                <w:color w:val="auto"/>
              </w:rPr>
              <w:t>Subscription receivable</w:t>
            </w:r>
          </w:p>
        </w:tc>
        <w:tc>
          <w:tcPr>
            <w:tcW w:w="1160" w:type="dxa"/>
            <w:vAlign w:val="bottom"/>
            <w:gridSpan w:val="4"/>
          </w:tcPr>
          <w:p>
            <w:pPr>
              <w:jc w:val="right"/>
              <w:ind w:right="280"/>
              <w:spacing w:after="0"/>
              <w:rPr>
                <w:sz w:val="20"/>
                <w:szCs w:val="20"/>
                <w:color w:val="auto"/>
              </w:rPr>
            </w:pPr>
            <w:r>
              <w:rPr>
                <w:rFonts w:ascii="Arial" w:cs="Arial" w:eastAsia="Arial" w:hAnsi="Arial"/>
                <w:sz w:val="17"/>
                <w:szCs w:val="17"/>
                <w:color w:val="auto"/>
              </w:rPr>
              <w:t>(15)</w:t>
            </w:r>
          </w:p>
        </w:tc>
        <w:tc>
          <w:tcPr>
            <w:tcW w:w="280" w:type="dxa"/>
            <w:vAlign w:val="bottom"/>
          </w:tcPr>
          <w:p>
            <w:pPr>
              <w:spacing w:after="0"/>
              <w:rPr>
                <w:sz w:val="17"/>
                <w:szCs w:val="17"/>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Accumulated deficit</w:t>
            </w: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(24,728)</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(97,282)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(97,282)</w:t>
            </w:r>
          </w:p>
        </w:tc>
      </w:tr>
      <w:tr>
        <w:trPr>
          <w:trHeight w:val="203"/>
        </w:trPr>
        <w:tc>
          <w:tcPr>
            <w:tcW w:w="7580" w:type="dxa"/>
            <w:vAlign w:val="bottom"/>
          </w:tcPr>
          <w:p>
            <w:pPr>
              <w:ind w:left="360"/>
              <w:spacing w:after="0"/>
              <w:rPr>
                <w:sz w:val="20"/>
                <w:szCs w:val="20"/>
                <w:color w:val="auto"/>
              </w:rPr>
            </w:pPr>
            <w:r>
              <w:rPr>
                <w:rFonts w:ascii="Arial" w:cs="Arial" w:eastAsia="Arial" w:hAnsi="Arial"/>
                <w:sz w:val="17"/>
                <w:szCs w:val="17"/>
                <w:color w:val="auto"/>
              </w:rPr>
              <w:t>Accumulated other comprehensive income (loss)</w:t>
            </w:r>
          </w:p>
        </w:tc>
        <w:tc>
          <w:tcPr>
            <w:tcW w:w="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7"/>
                <w:szCs w:val="17"/>
                <w:color w:val="auto"/>
              </w:rPr>
              <w:t>(140)</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(140)</w:t>
            </w:r>
          </w:p>
        </w:tc>
      </w:tr>
      <w:tr>
        <w:trPr>
          <w:trHeight w:val="27"/>
        </w:trPr>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equity (deficit)</w:t>
            </w: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(22,860)</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(155,982)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154,732</w:t>
            </w:r>
          </w:p>
        </w:tc>
      </w:tr>
      <w:tr>
        <w:trPr>
          <w:trHeight w:val="210"/>
        </w:trPr>
        <w:tc>
          <w:tcPr>
            <w:tcW w:w="7580" w:type="dxa"/>
            <w:vAlign w:val="bottom"/>
          </w:tcPr>
          <w:p>
            <w:pPr>
              <w:ind w:left="360"/>
              <w:spacing w:after="0"/>
              <w:rPr>
                <w:sz w:val="20"/>
                <w:szCs w:val="20"/>
                <w:color w:val="auto"/>
              </w:rPr>
            </w:pPr>
            <w:r>
              <w:rPr>
                <w:rFonts w:ascii="Arial" w:cs="Arial" w:eastAsia="Arial" w:hAnsi="Arial"/>
                <w:sz w:val="17"/>
                <w:szCs w:val="17"/>
                <w:color w:val="auto"/>
              </w:rPr>
              <w:t>Total liabilities, mezzanine equity and equity</w:t>
            </w: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63,025</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184,867</w:t>
            </w:r>
          </w:p>
        </w:tc>
        <w:tc>
          <w:tcPr>
            <w:tcW w:w="6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184,867</w:t>
            </w:r>
          </w:p>
        </w:tc>
        <w:tc>
          <w:tcPr>
            <w:tcW w:w="100" w:type="dxa"/>
            <w:vAlign w:val="bottom"/>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both"/>
        <w:ind w:left="2420" w:right="2420" w:firstLine="26"/>
        <w:spacing w:after="0" w:line="347" w:lineRule="auto"/>
        <w:rPr>
          <w:sz w:val="20"/>
          <w:szCs w:val="20"/>
          <w:color w:val="auto"/>
        </w:rPr>
      </w:pPr>
      <w:r>
        <w:rPr>
          <w:rFonts w:ascii="Arial" w:cs="Arial" w:eastAsia="Arial" w:hAnsi="Arial"/>
          <w:sz w:val="16"/>
          <w:szCs w:val="16"/>
          <w:b w:val="1"/>
          <w:bCs w:val="1"/>
          <w:color w:val="auto"/>
        </w:rPr>
        <w:t>UNAUDITED CONDENSED CONSOLIDATED STATEMENTS OF OPERATIONS (In thousands of U.S. dollars, except share and share related data, or otherwise noted)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7"/>
          </w:tcPr>
          <w:p>
            <w:pPr>
              <w:jc w:val="right"/>
              <w:ind w:right="660"/>
              <w:spacing w:after="0"/>
              <w:rPr>
                <w:sz w:val="20"/>
                <w:szCs w:val="20"/>
                <w:color w:val="auto"/>
              </w:rPr>
            </w:pPr>
            <w:r>
              <w:rPr>
                <w:rFonts w:ascii="Arial" w:cs="Arial" w:eastAsia="Arial" w:hAnsi="Arial"/>
                <w:sz w:val="14"/>
                <w:szCs w:val="14"/>
                <w:color w:val="auto"/>
                <w:w w:val="99"/>
              </w:rPr>
              <w:t>For the nine-month periods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Cost and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Cost of revenues (including share-based compensation of $9 and $75 in the nine-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month periods ended September 30, 2013 and 2014, respectively)</w:t>
            </w:r>
          </w:p>
        </w:tc>
        <w:tc>
          <w:tcPr>
            <w:tcW w:w="30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(1,198)</w:t>
            </w: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340"/>
              <w:spacing w:after="0" w:line="201" w:lineRule="exact"/>
              <w:rPr>
                <w:sz w:val="20"/>
                <w:szCs w:val="20"/>
                <w:color w:val="auto"/>
              </w:rPr>
            </w:pPr>
            <w:r>
              <w:rPr>
                <w:rFonts w:ascii="Arial" w:cs="Arial" w:eastAsia="Arial" w:hAnsi="Arial"/>
                <w:sz w:val="18"/>
                <w:szCs w:val="18"/>
                <w:color w:val="auto"/>
              </w:rPr>
              <w:t>Research and development (including share-based compensation of $169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$286 in the nine-month periods ended September 30, 2013 and 2014,</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(2,330)</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Sales and marketing (including share-based compensation of $48 and $316 in the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nine-month periods ended September 30, 2013 and 2014, respectively)</w:t>
            </w:r>
          </w:p>
        </w:tc>
        <w:tc>
          <w:tcPr>
            <w:tcW w:w="30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(1,521)</w:t>
            </w: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340"/>
              <w:spacing w:after="0" w:line="201" w:lineRule="exact"/>
              <w:rPr>
                <w:sz w:val="20"/>
                <w:szCs w:val="20"/>
                <w:color w:val="auto"/>
              </w:rPr>
            </w:pPr>
            <w:r>
              <w:rPr>
                <w:rFonts w:ascii="Arial" w:cs="Arial" w:eastAsia="Arial" w:hAnsi="Arial"/>
                <w:sz w:val="18"/>
                <w:szCs w:val="18"/>
                <w:color w:val="auto"/>
              </w:rPr>
              <w:t>General and administrative (including share-based compensation of $314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$3,532 in the nine-month periods ended September 30, 2013 and 2014,</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(2,054)</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cost and expenses</w:t>
            </w:r>
          </w:p>
        </w:tc>
        <w:tc>
          <w:tcPr>
            <w:tcW w:w="3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(7,103)</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(49,386)</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Loss before income tax provision</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3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Net loss attributable to Momo Inc.</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preferred shareholders</w:t>
            </w:r>
          </w:p>
        </w:tc>
        <w:tc>
          <w:tcPr>
            <w:tcW w:w="3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(5,640)</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(49,673)</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Net loss attributable to ordinary shareholders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ordinary shareholders, as restated (see Note 12)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(0.19)</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(0.19)</w:t>
            </w: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calculating net loss per ordinary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62,562,500</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77,749,511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62,562,500</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77,749,511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4"/>
          </w:tcPr>
          <w:p>
            <w:pPr>
              <w:jc w:val="right"/>
              <w:ind w:right="300"/>
              <w:spacing w:after="0"/>
              <w:rPr>
                <w:sz w:val="20"/>
                <w:szCs w:val="20"/>
                <w:color w:val="auto"/>
              </w:rPr>
            </w:pPr>
            <w:r>
              <w:rPr>
                <w:rFonts w:ascii="Arial" w:cs="Arial" w:eastAsia="Arial" w:hAnsi="Arial"/>
                <w:sz w:val="14"/>
                <w:szCs w:val="14"/>
                <w:color w:val="auto"/>
              </w:rPr>
              <w:t>For the nine-month periods</w:t>
            </w:r>
          </w:p>
        </w:tc>
      </w:tr>
      <w:tr>
        <w:trPr>
          <w:trHeight w:val="167"/>
        </w:trPr>
        <w:tc>
          <w:tcPr>
            <w:tcW w:w="9360" w:type="dxa"/>
            <w:vAlign w:val="bottom"/>
          </w:tcPr>
          <w:p>
            <w:pPr>
              <w:spacing w:after="0"/>
              <w:rPr>
                <w:sz w:val="14"/>
                <w:szCs w:val="14"/>
                <w:color w:val="auto"/>
              </w:rPr>
            </w:pPr>
          </w:p>
        </w:tc>
        <w:tc>
          <w:tcPr>
            <w:tcW w:w="2060" w:type="dxa"/>
            <w:vAlign w:val="bottom"/>
            <w:gridSpan w:val="4"/>
          </w:tcPr>
          <w:p>
            <w:pPr>
              <w:jc w:val="right"/>
              <w:ind w:right="480"/>
              <w:spacing w:after="0"/>
              <w:rPr>
                <w:sz w:val="20"/>
                <w:szCs w:val="20"/>
                <w:color w:val="auto"/>
              </w:rPr>
            </w:pPr>
            <w:r>
              <w:rPr>
                <w:rFonts w:ascii="Arial" w:cs="Arial" w:eastAsia="Arial" w:hAnsi="Arial"/>
                <w:sz w:val="14"/>
                <w:szCs w:val="14"/>
                <w:color w:val="auto"/>
              </w:rPr>
              <w:t>ended September 30,</w:t>
            </w:r>
          </w:p>
        </w:tc>
      </w:tr>
      <w:tr>
        <w:trPr>
          <w:trHeight w:val="142"/>
        </w:trPr>
        <w:tc>
          <w:tcPr>
            <w:tcW w:w="93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2013</w:t>
            </w:r>
          </w:p>
        </w:tc>
        <w:tc>
          <w:tcPr>
            <w:tcW w:w="5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(22,881)</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Comprehensive loss attributable to Momo Inc. shareholders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(23,179)</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UNAUDITED 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Ordinary shares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spacing w:after="0" w:line="154" w:lineRule="exact"/>
              <w:rPr>
                <w:sz w:val="20"/>
                <w:szCs w:val="20"/>
                <w:color w:val="auto"/>
              </w:rPr>
            </w:pPr>
            <w:r>
              <w:rPr>
                <w:rFonts w:ascii="Arial" w:cs="Arial" w:eastAsia="Arial" w:hAnsi="Arial"/>
                <w:sz w:val="14"/>
                <w:szCs w:val="14"/>
                <w:color w:val="auto"/>
                <w:w w:val="97"/>
              </w:rPr>
              <w:t>Additional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460"/>
              <w:spacing w:after="0" w:line="154" w:lineRule="exact"/>
              <w:rPr>
                <w:sz w:val="20"/>
                <w:szCs w:val="20"/>
                <w:color w:val="auto"/>
              </w:rPr>
            </w:pPr>
            <w:r>
              <w:rPr>
                <w:rFonts w:ascii="Arial" w:cs="Arial" w:eastAsia="Arial" w:hAnsi="Arial"/>
                <w:sz w:val="14"/>
                <w:szCs w:val="14"/>
                <w:color w:val="auto"/>
                <w:w w:val="93"/>
              </w:rPr>
              <w:t>other</w:t>
            </w:r>
          </w:p>
        </w:tc>
        <w:tc>
          <w:tcPr>
            <w:tcW w:w="140" w:type="dxa"/>
            <w:vAlign w:val="bottom"/>
          </w:tcPr>
          <w:p>
            <w:pPr>
              <w:spacing w:after="0"/>
              <w:rPr>
                <w:sz w:val="13"/>
                <w:szCs w:val="13"/>
                <w:color w:val="auto"/>
              </w:rPr>
            </w:pPr>
          </w:p>
        </w:tc>
        <w:tc>
          <w:tcPr>
            <w:tcW w:w="74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23"/>
        </w:trPr>
        <w:tc>
          <w:tcPr>
            <w:tcW w:w="3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ind w:left="20"/>
              <w:spacing w:after="0" w:line="123" w:lineRule="exact"/>
              <w:rPr>
                <w:sz w:val="20"/>
                <w:szCs w:val="20"/>
                <w:color w:val="auto"/>
              </w:rPr>
            </w:pPr>
            <w:r>
              <w:rPr>
                <w:rFonts w:ascii="Arial" w:cs="Arial" w:eastAsia="Arial" w:hAnsi="Arial"/>
                <w:sz w:val="14"/>
                <w:szCs w:val="14"/>
                <w:color w:val="auto"/>
              </w:rPr>
              <w:t>paid-in</w:t>
            </w:r>
          </w:p>
        </w:tc>
        <w:tc>
          <w:tcPr>
            <w:tcW w:w="260" w:type="dxa"/>
            <w:vAlign w:val="bottom"/>
          </w:tcPr>
          <w:p>
            <w:pPr>
              <w:spacing w:after="0"/>
              <w:rPr>
                <w:sz w:val="10"/>
                <w:szCs w:val="10"/>
                <w:color w:val="auto"/>
              </w:rPr>
            </w:pPr>
          </w:p>
        </w:tc>
        <w:tc>
          <w:tcPr>
            <w:tcW w:w="740" w:type="dxa"/>
            <w:vAlign w:val="bottom"/>
            <w:gridSpan w:val="3"/>
          </w:tcPr>
          <w:p>
            <w:pPr>
              <w:ind w:left="40"/>
              <w:spacing w:after="0" w:line="123" w:lineRule="exact"/>
              <w:rPr>
                <w:sz w:val="20"/>
                <w:szCs w:val="20"/>
                <w:color w:val="auto"/>
              </w:rPr>
            </w:pPr>
            <w:r>
              <w:rPr>
                <w:rFonts w:ascii="Arial" w:cs="Arial" w:eastAsia="Arial" w:hAnsi="Arial"/>
                <w:sz w:val="14"/>
                <w:szCs w:val="14"/>
                <w:color w:val="auto"/>
              </w:rPr>
              <w:t>Treasury</w:t>
            </w:r>
          </w:p>
        </w:tc>
        <w:tc>
          <w:tcPr>
            <w:tcW w:w="120" w:type="dxa"/>
            <w:vAlign w:val="bottom"/>
          </w:tcPr>
          <w:p>
            <w:pPr>
              <w:spacing w:after="0"/>
              <w:rPr>
                <w:sz w:val="10"/>
                <w:szCs w:val="10"/>
                <w:color w:val="auto"/>
              </w:rPr>
            </w:pPr>
          </w:p>
        </w:tc>
        <w:tc>
          <w:tcPr>
            <w:tcW w:w="880" w:type="dxa"/>
            <w:vAlign w:val="bottom"/>
            <w:gridSpan w:val="3"/>
          </w:tcPr>
          <w:p>
            <w:pPr>
              <w:spacing w:after="0" w:line="123" w:lineRule="exact"/>
              <w:rPr>
                <w:sz w:val="20"/>
                <w:szCs w:val="20"/>
                <w:color w:val="auto"/>
              </w:rPr>
            </w:pPr>
            <w:r>
              <w:rPr>
                <w:rFonts w:ascii="Arial" w:cs="Arial" w:eastAsia="Arial" w:hAnsi="Arial"/>
                <w:sz w:val="14"/>
                <w:szCs w:val="14"/>
                <w:color w:val="auto"/>
              </w:rPr>
              <w:t>Subscription</w:t>
            </w:r>
          </w:p>
        </w:tc>
        <w:tc>
          <w:tcPr>
            <w:tcW w:w="120" w:type="dxa"/>
            <w:vAlign w:val="bottom"/>
          </w:tcPr>
          <w:p>
            <w:pPr>
              <w:spacing w:after="0"/>
              <w:rPr>
                <w:sz w:val="10"/>
                <w:szCs w:val="10"/>
                <w:color w:val="auto"/>
              </w:rPr>
            </w:pPr>
          </w:p>
        </w:tc>
        <w:tc>
          <w:tcPr>
            <w:tcW w:w="104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1140" w:type="dxa"/>
            <w:vAlign w:val="bottom"/>
            <w:gridSpan w:val="3"/>
          </w:tcPr>
          <w:p>
            <w:pPr>
              <w:jc w:val="center"/>
              <w:ind w:right="280"/>
              <w:spacing w:after="0" w:line="123"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3"/>
          </w:tcPr>
          <w:p>
            <w:pPr>
              <w:spacing w:after="0" w:line="123"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67"/>
        </w:trPr>
        <w:tc>
          <w:tcPr>
            <w:tcW w:w="37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Shares</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1"/>
              </w:rPr>
              <w:t>Amount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receivable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color w:val="auto"/>
              </w:rPr>
              <w:t>deficit</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income (loss)</w:t>
            </w:r>
          </w:p>
        </w:tc>
        <w:tc>
          <w:tcPr>
            <w:tcW w:w="14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January 1, 2013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147,000,000</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82"/>
              </w:rPr>
              <w:t>747</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(7,282)</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(6,259)</w:t>
            </w:r>
          </w:p>
        </w:tc>
        <w:tc>
          <w:tcPr>
            <w:tcW w:w="180" w:type="dxa"/>
            <w:vAlign w:val="bottom"/>
          </w:tcPr>
          <w:p>
            <w:pPr>
              <w:spacing w:after="0"/>
              <w:rPr>
                <w:sz w:val="17"/>
                <w:szCs w:val="17"/>
                <w:color w:val="auto"/>
              </w:rPr>
            </w:pPr>
          </w:p>
        </w:tc>
        <w:tc>
          <w:tcPr>
            <w:tcW w:w="9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(6,259)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2"/>
              </w:rPr>
              <w:t>540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Deemed dividend to preferred shareholders</w:t>
            </w: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(5,640)</w:t>
            </w:r>
          </w:p>
        </w:tc>
        <w:tc>
          <w:tcPr>
            <w:tcW w:w="180" w:type="dxa"/>
            <w:vAlign w:val="bottom"/>
          </w:tcPr>
          <w:p>
            <w:pPr>
              <w:spacing w:after="0"/>
              <w:rPr>
                <w:sz w:val="17"/>
                <w:szCs w:val="17"/>
                <w:color w:val="auto"/>
              </w:rPr>
            </w:pPr>
          </w:p>
        </w:tc>
        <w:tc>
          <w:tcPr>
            <w:tcW w:w="9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(5,640)</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w w:val="89"/>
              </w:rPr>
              <w:t>184</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Balance as of September 30, 2013</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147,000,000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1,287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(19,181)</w:t>
            </w:r>
          </w:p>
        </w:tc>
        <w:tc>
          <w:tcPr>
            <w:tcW w:w="180" w:type="dxa"/>
            <w:vAlign w:val="bottom"/>
          </w:tcPr>
          <w:p>
            <w:pPr>
              <w:spacing w:after="0"/>
              <w:rPr>
                <w:sz w:val="17"/>
                <w:szCs w:val="17"/>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w w:val="89"/>
              </w:rPr>
              <w:t>161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(17,733)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January 1, 2014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147,000,000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(24,728)</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9"/>
              </w:rPr>
              <w:t>158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(22,860)</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(22,881)</w:t>
            </w:r>
          </w:p>
        </w:tc>
        <w:tc>
          <w:tcPr>
            <w:tcW w:w="180" w:type="dxa"/>
            <w:vAlign w:val="bottom"/>
          </w:tcPr>
          <w:p>
            <w:pPr>
              <w:spacing w:after="0"/>
              <w:rPr>
                <w:sz w:val="17"/>
                <w:szCs w:val="17"/>
                <w:color w:val="auto"/>
              </w:rPr>
            </w:pPr>
          </w:p>
        </w:tc>
        <w:tc>
          <w:tcPr>
            <w:tcW w:w="9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(22,881)</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Repurchase of ordinary shares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(15,651,589)</w:t>
            </w:r>
          </w:p>
        </w:tc>
        <w:tc>
          <w:tcPr>
            <w:tcW w:w="18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6"/>
                <w:szCs w:val="16"/>
                <w:color w:val="auto"/>
              </w:rPr>
              <w:t>(64,494)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(64,494)</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Deemed dividend to preferred shareholders</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(49,673)</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(49,673)</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Subscription Receivable</w:t>
            </w: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(298)</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6"/>
                <w:szCs w:val="16"/>
                <w:color w:val="auto"/>
              </w:rPr>
              <w:t>Balance as of September 30, 2014</w:t>
            </w: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8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131,348,411</w:t>
            </w:r>
          </w:p>
        </w:tc>
        <w:tc>
          <w:tcPr>
            <w:tcW w:w="2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5,919</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spacing w:after="0"/>
              <w:rPr>
                <w:sz w:val="20"/>
                <w:szCs w:val="20"/>
                <w:color w:val="auto"/>
              </w:rPr>
            </w:pPr>
            <w:r>
              <w:rPr>
                <w:rFonts w:ascii="Arial" w:cs="Arial" w:eastAsia="Arial" w:hAnsi="Arial"/>
                <w:sz w:val="16"/>
                <w:szCs w:val="16"/>
                <w:color w:val="auto"/>
              </w:rPr>
              <w:t>(64,494)</w:t>
            </w:r>
          </w:p>
        </w:tc>
        <w:tc>
          <w:tcPr>
            <w:tcW w:w="4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(97,282)</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(155,982)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share related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color w:val="auto"/>
              </w:rPr>
              <w:t>For the nine-month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4"/>
                <w:szCs w:val="14"/>
                <w:color w:val="auto"/>
                <w:w w:val="95"/>
              </w:rPr>
              <w:t>periods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2013</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(6,259)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Depreciation on property and equipment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Loss on disposal of property and equipment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(863)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Amount due from a related party</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Rental deposit</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Payment for cost-method investment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redeemable participating preferred shares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Repurchase of convertible redeemable participating preferred shares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contribution from shareholders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IPO costs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Net (decrease by) increase in cash and cash equivalents</w:t>
            </w:r>
          </w:p>
        </w:tc>
        <w:tc>
          <w:tcPr>
            <w:tcW w:w="1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(6,541)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106,832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18,539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55,374</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1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11,998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Payable for purchase of property and equipment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Payable for deferred IPO cost</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Payable for repurchase of ordinary shares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UNAUDITED CONDENSED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NINE-MONTH PERIODS ENDED SEPTEMBER 30, 2013 AND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in thousands, except share data)</w:t>
      </w:r>
    </w:p>
    <w:p>
      <w:pPr>
        <w:spacing w:after="0" w:line="234"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include the financial information of Momo Inc. (the “Company”, formerly known as Momo Technology Company Limited), its subsidiaries, its consolidated variable interest entity (“VIE”) and VIE’s subsidiary (collectively the “Group”). All intercompany balances and transactions have been eliminated in consolidation. The unaudited condensed consolidated financial statements have been prepared in accordance with the rules and regulations of the Security and Exchange Commission and U.S. generally accepted accounting standards for interim financial reporting. The results of operations for the nine-month periods ended September 30, 2013 and 2014 are not necessarily indicative of the results for the full years.</w:t>
      </w:r>
    </w:p>
    <w:p>
      <w:pPr>
        <w:spacing w:after="0" w:line="85" w:lineRule="exact"/>
        <w:rPr>
          <w:rFonts w:ascii="Arial" w:cs="Arial" w:eastAsia="Arial" w:hAnsi="Arial"/>
          <w:sz w:val="18"/>
          <w:szCs w:val="18"/>
          <w:b w:val="1"/>
          <w:bCs w:val="1"/>
          <w:color w:val="auto"/>
        </w:rPr>
      </w:pPr>
    </w:p>
    <w:p>
      <w:pPr>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should be read in conjunction with the financial statements, accounting policies and notes thereto included in the Group’s audited consolidated financial statements for each of the two years in the period ended December 31, 2013. In the opinion of the management, the accompanying unaudited condensed consolidated financial statements reflect all adjustments (consisting only of normal recurring adjustments), which are necessary for a fair presentation of financial results for the interim periods presented. The Group believes that the disclosures are adequate to make the information presented not misleading. The accompanying unaudited condensed consolidated financial statements have been prepared using the same accounting policies as used in the preparation of the Group’s consolidated financial statements for each of the two years in the period ended December 31, 2013.</w:t>
      </w:r>
    </w:p>
    <w:p>
      <w:pPr>
        <w:spacing w:after="0" w:line="69"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information as of December 31, 2013 presented in the unaudited condensed consolidated financial statements is derived from our audited consolidated financial statements for the year ended December 31, 2013.</w:t>
      </w:r>
    </w:p>
    <w:p>
      <w:pPr>
        <w:spacing w:after="0" w:line="62"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July 2014, the Company was redomiciled in the Cayman Islands as an exempted company registered under the laws of the Cayman Islands, and was renamed to Momo Inc.</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VIE arrangements</w:t>
      </w:r>
    </w:p>
    <w:p>
      <w:pPr>
        <w:spacing w:after="0" w:line="121" w:lineRule="exact"/>
        <w:rPr>
          <w:rFonts w:ascii="Arial" w:cs="Arial" w:eastAsia="Arial" w:hAnsi="Arial"/>
          <w:sz w:val="18"/>
          <w:szCs w:val="18"/>
          <w:b w:val="1"/>
          <w:bCs w:val="1"/>
          <w:color w:val="auto"/>
        </w:rPr>
      </w:pPr>
    </w:p>
    <w:p>
      <w:pPr>
        <w:ind w:left="460" w:right="2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To further strengthen the Company’s corporate structure, the Group amended its Power of Attorney, Exclusive Call Option Agreement and Equity Interest Pledge Agreement with the Nominee Shareholders and also entered into the Spousal Consent letters with the Nominee Shareholders in April 2014, and amended Exclusive Cooperation Agreements and Supplemental Agreements in August 2014. There was no substantial change to the term and condition of the VIE agreements and has no effect to the Company’s VIE consolidation.</w:t>
      </w:r>
    </w:p>
    <w:p>
      <w:pPr>
        <w:spacing w:after="0" w:line="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the summary of the VIE agreements, as amended and entered into on April 18, 2014 and August 31, 2014:</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Power of attorney</w:t>
      </w:r>
    </w:p>
    <w:p>
      <w:pPr>
        <w:spacing w:after="0" w:line="117"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Pursuant to the Power of Attorney, the Nominee Shareholders of Beijing Momo each irrevocably appointed Beijing Momo IT as the attorney-in-fact to act on their behalf on all matters pertaining to Beijing Momo and to exercise all of their rights as a shareholder of Beijing Momo, including but not limited to convene, attend and vote on their behalf at shareholders’ meetings, designate and appoint directors and senior management members. Beijing Momo IT may authorize or assign its rights under this appointment to a person as approved by its board of directors at its sole discretion. Each power of attorney will remain in force until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7720" w:hanging="452"/>
        <w:spacing w:after="0" w:line="471" w:lineRule="auto"/>
        <w:tabs>
          <w:tab w:leader="none" w:pos="449"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BASIS OF PREPARATION - continued The VIE arrangements -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Power of attorney </w:t>
      </w:r>
      <w:r>
        <w:rPr>
          <w:rFonts w:ascii="Arial" w:cs="Arial" w:eastAsia="Arial" w:hAnsi="Arial"/>
          <w:sz w:val="17"/>
          <w:szCs w:val="17"/>
          <w:color w:val="auto"/>
        </w:rPr>
        <w:t>- continued</w:t>
      </w:r>
    </w:p>
    <w:p>
      <w:pPr>
        <w:spacing w:after="0" w:line="123" w:lineRule="exact"/>
        <w:rPr>
          <w:sz w:val="20"/>
          <w:szCs w:val="20"/>
          <w:color w:val="auto"/>
        </w:rPr>
      </w:pPr>
    </w:p>
    <w:p>
      <w:pPr>
        <w:ind w:left="620" w:right="200"/>
        <w:spacing w:after="0" w:line="277" w:lineRule="auto"/>
        <w:rPr>
          <w:sz w:val="20"/>
          <w:szCs w:val="20"/>
          <w:color w:val="auto"/>
        </w:rPr>
      </w:pPr>
      <w:r>
        <w:rPr>
          <w:rFonts w:ascii="Arial" w:cs="Arial" w:eastAsia="Arial" w:hAnsi="Arial"/>
          <w:sz w:val="18"/>
          <w:szCs w:val="18"/>
          <w:color w:val="auto"/>
        </w:rPr>
        <w:t>shareholder ceases to hold any equity interest in Beijing Momo. The Company believes the Powers of Attorney can demonstrate the power of its PRC subsidiary (Beijing Momo IT) to direct how the VIE should conduct its daily operations.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Exclusive call option agreement</w:t>
      </w:r>
    </w:p>
    <w:p>
      <w:pPr>
        <w:spacing w:after="0" w:line="117" w:lineRule="exact"/>
        <w:rPr>
          <w:sz w:val="20"/>
          <w:szCs w:val="20"/>
          <w:color w:val="auto"/>
        </w:rPr>
      </w:pPr>
    </w:p>
    <w:p>
      <w:pPr>
        <w:ind w:left="620" w:right="140"/>
        <w:spacing w:after="0" w:line="259" w:lineRule="auto"/>
        <w:rPr>
          <w:sz w:val="20"/>
          <w:szCs w:val="20"/>
          <w:color w:val="auto"/>
        </w:rPr>
      </w:pPr>
      <w:r>
        <w:rPr>
          <w:rFonts w:ascii="Arial" w:cs="Arial" w:eastAsia="Arial" w:hAnsi="Arial"/>
          <w:sz w:val="18"/>
          <w:szCs w:val="18"/>
          <w:color w:val="auto"/>
        </w:rPr>
        <w:t>Under the Exclusive Call Option Agreement among Beijing Momo IT, Beijing Momo and Nominee Shareholders of Beijing Momo, each of the Nominee Shareholders irrevocably granted Beijing Momo IT or its designated representative(s) an exclusive option to purchase, to the extent permitted under PRC law, all or part of his, her or its equity interests in Beijing Momo at the consideration equal to the nominal price or at lowest price as permitted by PRC laws.</w:t>
      </w:r>
    </w:p>
    <w:p>
      <w:pPr>
        <w:spacing w:after="0" w:line="79" w:lineRule="exact"/>
        <w:rPr>
          <w:sz w:val="20"/>
          <w:szCs w:val="20"/>
          <w:color w:val="auto"/>
        </w:rPr>
      </w:pPr>
    </w:p>
    <w:p>
      <w:pPr>
        <w:ind w:left="620"/>
        <w:spacing w:after="0" w:line="297" w:lineRule="auto"/>
        <w:rPr>
          <w:sz w:val="20"/>
          <w:szCs w:val="20"/>
          <w:color w:val="auto"/>
        </w:rPr>
      </w:pPr>
      <w:r>
        <w:rPr>
          <w:rFonts w:ascii="Arial" w:cs="Arial" w:eastAsia="Arial" w:hAnsi="Arial"/>
          <w:sz w:val="16"/>
          <w:szCs w:val="16"/>
          <w:color w:val="auto"/>
        </w:rPr>
        <w:t>Beijing Momo IT or its designated representative(s) have sole discretion as to when to exercise such options, either in part or in full. Without Beijing Momo IT’s written consent, the Nominee Shareholders of Beijing Momo shall not transfer, donate, pledge, or otherwise dispose any equity interests of Beijing Momo in any way. In addition, any consideration paid by Beijing Momo IT to the Nominee Shareholders of Beijing Momo in exercising the option shall be transferred back to Beijing Momo IT or its designated representative(s). This agreement could be terminated when all the shareholders’ equity were acquired by WFOE or its designated representative(s) subject to the law of People’s Republic of China.</w:t>
      </w:r>
    </w:p>
    <w:p>
      <w:pPr>
        <w:spacing w:after="0" w:line="50" w:lineRule="exact"/>
        <w:rPr>
          <w:sz w:val="20"/>
          <w:szCs w:val="20"/>
          <w:color w:val="auto"/>
        </w:rPr>
      </w:pPr>
    </w:p>
    <w:p>
      <w:pPr>
        <w:ind w:left="620" w:right="60"/>
        <w:spacing w:after="0" w:line="259" w:lineRule="auto"/>
        <w:rPr>
          <w:sz w:val="20"/>
          <w:szCs w:val="20"/>
          <w:color w:val="auto"/>
        </w:rPr>
      </w:pPr>
      <w:r>
        <w:rPr>
          <w:rFonts w:ascii="Arial" w:cs="Arial" w:eastAsia="Arial" w:hAnsi="Arial"/>
          <w:sz w:val="18"/>
          <w:szCs w:val="18"/>
          <w:color w:val="auto"/>
        </w:rPr>
        <w:t>In addition, Beijing Momo irrevocably granted Beijing Momo IT an exclusive and irrevocable option to purchase any or all of the assets owned by Beijing Momo at the lowest price permitted under PRC law. Without Beijing Momo IT’s prior written consent, Beijing Momo and its Nominee Shareholders will not sell, transfer, mortgage or otherwise dispose of Beijing Momo’s material assets, legal or beneficial interests or revenues of more than RMB500,000 or allow an encumbrance on any interest in Beijing Momo.</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Spousal consent letters</w:t>
      </w:r>
    </w:p>
    <w:p>
      <w:pPr>
        <w:spacing w:after="0" w:line="117" w:lineRule="exact"/>
        <w:rPr>
          <w:sz w:val="20"/>
          <w:szCs w:val="20"/>
          <w:color w:val="auto"/>
        </w:rPr>
      </w:pPr>
    </w:p>
    <w:p>
      <w:pPr>
        <w:ind w:left="620" w:right="140"/>
        <w:spacing w:after="0" w:line="297" w:lineRule="auto"/>
        <w:rPr>
          <w:sz w:val="20"/>
          <w:szCs w:val="20"/>
          <w:color w:val="auto"/>
        </w:rPr>
      </w:pPr>
      <w:r>
        <w:rPr>
          <w:rFonts w:ascii="Arial" w:cs="Arial" w:eastAsia="Arial" w:hAnsi="Arial"/>
          <w:sz w:val="16"/>
          <w:szCs w:val="16"/>
          <w:color w:val="auto"/>
        </w:rPr>
        <w:t>On April 18, 2014, each spouse of the married Nominee Shareholders of Beijing Momo entered into a Spousal Consent Letter, which unconditionally and irrevocably agreed that the equity interests in Beijing Momo held by and registered in the name of their spouse will be disposed of pursuant to the Equity Interest Pledge Agreement, the Exclusive Call Option Agreement, and the Power of Attorney. Each spouse agreed not to assert any rights over the equity interests in Beijing Momo held by their spouse. In addition, in the event that the spouse obtains any equity interests in Beijing Momo held by their spouse for any reason, they agreed to be bound by the contractual arrangements.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Exclusive Cooperation Agreements and Supplemental Agreements</w:t>
      </w:r>
    </w:p>
    <w:p>
      <w:pPr>
        <w:spacing w:after="0" w:line="117" w:lineRule="exact"/>
        <w:rPr>
          <w:sz w:val="20"/>
          <w:szCs w:val="20"/>
          <w:color w:val="auto"/>
        </w:rPr>
      </w:pPr>
    </w:p>
    <w:p>
      <w:pPr>
        <w:ind w:left="620" w:right="140"/>
        <w:spacing w:after="0" w:line="279" w:lineRule="auto"/>
        <w:rPr>
          <w:sz w:val="20"/>
          <w:szCs w:val="20"/>
          <w:color w:val="auto"/>
        </w:rPr>
      </w:pPr>
      <w:r>
        <w:rPr>
          <w:rFonts w:ascii="Arial" w:cs="Arial" w:eastAsia="Arial" w:hAnsi="Arial"/>
          <w:sz w:val="17"/>
          <w:szCs w:val="17"/>
          <w:color w:val="auto"/>
        </w:rPr>
        <w:t>In August 2014, Beijing Momo IT entered into an Exclusive Cooperation Agreements and a Supplemental Agreement with Beijing Momo and Chengdu Momo, respectively, to supersede the Exclusive Technology Consulting and Management Services Agreements signed in April 2012 by Beijing Momo IT and Beijing Momo. Pursuant to the amended agreements, Beijing Momo IT has the exclusive right to provide, among other things, licenses, copyrights, technical and non-technical services to Beijing Momo and Chengdu</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620" w:right="22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7520" w:hanging="452"/>
        <w:spacing w:after="0" w:line="450" w:lineRule="auto"/>
        <w:tabs>
          <w:tab w:leader="none" w:pos="449"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BASIS OF PREPARATION - continued The VIE arrangements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Exclusive Cooperation Agreements and Supplemental Agreements </w:t>
      </w:r>
      <w:r>
        <w:rPr>
          <w:rFonts w:ascii="Arial" w:cs="Arial" w:eastAsia="Arial" w:hAnsi="Arial"/>
          <w:sz w:val="18"/>
          <w:szCs w:val="18"/>
          <w:color w:val="auto"/>
        </w:rPr>
        <w:t>- continued</w:t>
      </w:r>
    </w:p>
    <w:p>
      <w:pPr>
        <w:spacing w:after="0" w:line="333" w:lineRule="exact"/>
        <w:rPr>
          <w:sz w:val="20"/>
          <w:szCs w:val="20"/>
          <w:color w:val="auto"/>
        </w:rPr>
      </w:pPr>
    </w:p>
    <w:p>
      <w:pPr>
        <w:ind w:left="620"/>
        <w:spacing w:after="0" w:line="257" w:lineRule="auto"/>
        <w:rPr>
          <w:sz w:val="20"/>
          <w:szCs w:val="20"/>
          <w:color w:val="auto"/>
        </w:rPr>
      </w:pPr>
      <w:r>
        <w:rPr>
          <w:rFonts w:ascii="Arial" w:cs="Arial" w:eastAsia="Arial" w:hAnsi="Arial"/>
          <w:sz w:val="18"/>
          <w:szCs w:val="18"/>
          <w:color w:val="auto"/>
        </w:rPr>
        <w:t>Momo and receive service fees and license fees as consideration. Beijing Momo and Chengdu Momo will maintain a pre-determined level of operating profit and remit the excess operating profit, if any, to Beijing Momo IT as the consideration of the licenses, copyrights, technical and non-technical services provided by Beijing Momo IT. The agreements will remain effective for 10 years. At the sole discretion of Beijing Momo IT, the agreements could be renewed on applicable expirations dates, or Beijing Momo IT, Beijing Momo and Chengdu Momo could enter into other exclusive agreements.</w:t>
      </w:r>
    </w:p>
    <w:p>
      <w:pPr>
        <w:spacing w:after="0" w:line="29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Risk in relation to the VIE structure</w:t>
      </w:r>
    </w:p>
    <w:p>
      <w:pPr>
        <w:spacing w:after="0" w:line="117" w:lineRule="exact"/>
        <w:rPr>
          <w:sz w:val="20"/>
          <w:szCs w:val="20"/>
          <w:color w:val="auto"/>
        </w:rPr>
      </w:pPr>
    </w:p>
    <w:p>
      <w:pPr>
        <w:ind w:left="620" w:right="460"/>
        <w:spacing w:after="0" w:line="264" w:lineRule="auto"/>
        <w:rPr>
          <w:sz w:val="20"/>
          <w:szCs w:val="20"/>
          <w:color w:val="auto"/>
        </w:rPr>
      </w:pPr>
      <w:r>
        <w:rPr>
          <w:rFonts w:ascii="Arial" w:cs="Arial" w:eastAsia="Arial" w:hAnsi="Arial"/>
          <w:sz w:val="18"/>
          <w:szCs w:val="18"/>
          <w:color w:val="auto"/>
        </w:rPr>
        <w:t>The following financial statements amounts and balances of the VIE and VIE’s subsidiary were included in the accompanying unaudited condensed consolidated financial statements after the elimination of intercompany balances and transactions as of December 31, 2013 and September 30, 2014 and for the nine-month periods ended September 30, 2013 and 2014:</w:t>
      </w:r>
    </w:p>
    <w:p>
      <w:pPr>
        <w:spacing w:after="0" w:line="19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50"/>
              <w:spacing w:after="0"/>
              <w:rPr>
                <w:sz w:val="20"/>
                <w:szCs w:val="20"/>
                <w:color w:val="auto"/>
              </w:rPr>
            </w:pPr>
            <w:r>
              <w:rPr>
                <w:rFonts w:ascii="Arial" w:cs="Arial" w:eastAsia="Arial" w:hAnsi="Arial"/>
                <w:sz w:val="14"/>
                <w:szCs w:val="14"/>
                <w:color w:val="auto"/>
              </w:rPr>
              <w:t>As of</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As of</w:t>
            </w:r>
          </w:p>
        </w:tc>
      </w:tr>
      <w:tr>
        <w:trPr>
          <w:trHeight w:val="149"/>
        </w:trPr>
        <w:tc>
          <w:tcPr>
            <w:tcW w:w="57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December 31,</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color w:val="auto"/>
                <w:w w:val="97"/>
              </w:rPr>
              <w:t>September 30,</w:t>
            </w:r>
          </w:p>
        </w:tc>
      </w:tr>
      <w:tr>
        <w:trPr>
          <w:trHeight w:val="167"/>
        </w:trPr>
        <w:tc>
          <w:tcPr>
            <w:tcW w:w="5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2014</w:t>
            </w:r>
          </w:p>
        </w:tc>
        <w:tc>
          <w:tcPr>
            <w:tcW w:w="80" w:type="dxa"/>
            <w:vAlign w:val="bottom"/>
            <w:tcBorders>
              <w:bottom w:val="single" w:sz="8" w:color="CCEEFF"/>
            </w:tcBorders>
          </w:tcPr>
          <w:p>
            <w:pPr>
              <w:spacing w:after="0"/>
              <w:rPr>
                <w:sz w:val="14"/>
                <w:szCs w:val="14"/>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14,337</w:t>
            </w:r>
          </w:p>
        </w:tc>
        <w:tc>
          <w:tcPr>
            <w:tcW w:w="80" w:type="dxa"/>
            <w:vAlign w:val="bottom"/>
            <w:shd w:val="clear" w:color="auto" w:fill="CCEEFF"/>
          </w:tcPr>
          <w:p>
            <w:pPr>
              <w:spacing w:after="0"/>
              <w:rPr>
                <w:sz w:val="18"/>
                <w:szCs w:val="18"/>
                <w:color w:val="auto"/>
              </w:rPr>
            </w:pPr>
          </w:p>
        </w:tc>
      </w:tr>
      <w:tr>
        <w:trPr>
          <w:trHeight w:val="202"/>
        </w:trPr>
        <w:tc>
          <w:tcPr>
            <w:tcW w:w="5740" w:type="dxa"/>
            <w:vAlign w:val="bottom"/>
          </w:tcPr>
          <w:p>
            <w:pPr>
              <w:ind w:left="20"/>
              <w:spacing w:after="0" w:line="201" w:lineRule="exact"/>
              <w:rPr>
                <w:sz w:val="20"/>
                <w:szCs w:val="20"/>
                <w:color w:val="auto"/>
              </w:rPr>
            </w:pPr>
            <w:r>
              <w:rPr>
                <w:rFonts w:ascii="Arial" w:cs="Arial" w:eastAsia="Arial" w:hAnsi="Arial"/>
                <w:sz w:val="18"/>
                <w:szCs w:val="18"/>
                <w:color w:val="auto"/>
              </w:rPr>
              <w:t>Accounts receivable, net of allowance for doubtful accounts of $nil</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and $nil as of December 31, 2013 and September 30, 2014,</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74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1,935</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5,001</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2,624</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21,962</w:t>
            </w:r>
          </w:p>
        </w:tc>
        <w:tc>
          <w:tcPr>
            <w:tcW w:w="80" w:type="dxa"/>
            <w:vAlign w:val="bottom"/>
          </w:tcPr>
          <w:p>
            <w:pPr>
              <w:spacing w:after="0"/>
              <w:rPr>
                <w:sz w:val="20"/>
                <w:szCs w:val="20"/>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1,605</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Rental deposits</w:t>
            </w:r>
          </w:p>
        </w:tc>
        <w:tc>
          <w:tcPr>
            <w:tcW w:w="1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Cost-method investment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24,208</w:t>
            </w:r>
          </w:p>
        </w:tc>
        <w:tc>
          <w:tcPr>
            <w:tcW w:w="8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2,531</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3,714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14,050</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986</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17,567</w:t>
            </w:r>
          </w:p>
        </w:tc>
        <w:tc>
          <w:tcPr>
            <w:tcW w:w="80" w:type="dxa"/>
            <w:vAlign w:val="bottom"/>
          </w:tcPr>
          <w:p>
            <w:pPr>
              <w:spacing w:after="0"/>
              <w:rPr>
                <w:sz w:val="20"/>
                <w:szCs w:val="20"/>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4,523</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17,567</w:t>
            </w: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7"/>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6"/>
          </w:tcPr>
          <w:p>
            <w:pPr>
              <w:ind w:left="200"/>
              <w:spacing w:after="0"/>
              <w:rPr>
                <w:sz w:val="20"/>
                <w:szCs w:val="20"/>
                <w:color w:val="auto"/>
              </w:rPr>
            </w:pPr>
            <w:r>
              <w:rPr>
                <w:rFonts w:ascii="Arial" w:cs="Arial" w:eastAsia="Arial" w:hAnsi="Arial"/>
                <w:sz w:val="14"/>
                <w:szCs w:val="14"/>
                <w:color w:val="auto"/>
              </w:rPr>
              <w:t>Nine-month periods</w:t>
            </w:r>
          </w:p>
        </w:tc>
      </w:tr>
      <w:tr>
        <w:trPr>
          <w:trHeight w:val="167"/>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color w:val="auto"/>
              </w:rPr>
              <w:t>ended September 30,</w:t>
            </w:r>
          </w:p>
        </w:tc>
      </w:tr>
      <w:tr>
        <w:trPr>
          <w:trHeight w:val="142"/>
        </w:trPr>
        <w:tc>
          <w:tcPr>
            <w:tcW w:w="57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color w:val="auto"/>
              </w:rPr>
              <w:t>2013</w:t>
            </w:r>
          </w:p>
        </w:tc>
        <w:tc>
          <w:tcPr>
            <w:tcW w:w="3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2014</w:t>
            </w:r>
          </w:p>
        </w:tc>
        <w:tc>
          <w:tcPr>
            <w:tcW w:w="8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817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26,205</w:t>
            </w:r>
          </w:p>
        </w:tc>
        <w:tc>
          <w:tcPr>
            <w:tcW w:w="80" w:type="dxa"/>
            <w:vAlign w:val="bottom"/>
            <w:shd w:val="clear" w:color="auto" w:fill="CCEEFF"/>
          </w:tcPr>
          <w:p>
            <w:pPr>
              <w:spacing w:after="0"/>
              <w:rPr>
                <w:sz w:val="18"/>
                <w:szCs w:val="18"/>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Net (loss) profit</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(2,284)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17,357</w:t>
            </w:r>
          </w:p>
        </w:tc>
      </w:tr>
      <w:tr>
        <w:trPr>
          <w:trHeight w:val="499"/>
        </w:trPr>
        <w:tc>
          <w:tcPr>
            <w:tcW w:w="5740" w:type="dxa"/>
            <w:vAlign w:val="bottom"/>
          </w:tcPr>
          <w:p>
            <w:pPr>
              <w:ind w:left="4040"/>
              <w:spacing w:after="0"/>
              <w:rPr>
                <w:sz w:val="20"/>
                <w:szCs w:val="20"/>
                <w:color w:val="auto"/>
              </w:rPr>
            </w:pPr>
            <w:r>
              <w:rPr>
                <w:rFonts w:ascii="Arial" w:cs="Arial" w:eastAsia="Arial" w:hAnsi="Arial"/>
                <w:sz w:val="18"/>
                <w:szCs w:val="18"/>
                <w:color w:val="auto"/>
              </w:rPr>
              <w:t>F-56</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40"/>
          </w:cols>
          <w:pgMar w:left="240" w:top="459" w:right="6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7720" w:hanging="452"/>
        <w:spacing w:after="0" w:line="450" w:lineRule="auto"/>
        <w:tabs>
          <w:tab w:leader="none" w:pos="449"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BASIS OF PREPARATION - continued The VIE arrangements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 xml:space="preserve">Risk in relation to the VIE structure </w:t>
      </w:r>
      <w:r>
        <w:rPr>
          <w:rFonts w:ascii="Arial" w:cs="Arial" w:eastAsia="Arial" w:hAnsi="Arial"/>
          <w:sz w:val="18"/>
          <w:szCs w:val="18"/>
          <w:color w:val="auto"/>
        </w:rPr>
        <w:t>- continued</w:t>
      </w:r>
    </w:p>
    <w:p>
      <w:pPr>
        <w:spacing w:after="0" w:line="328" w:lineRule="exact"/>
        <w:rPr>
          <w:sz w:val="20"/>
          <w:szCs w:val="20"/>
          <w:color w:val="auto"/>
        </w:rPr>
      </w:pPr>
    </w:p>
    <w:p>
      <w:pPr>
        <w:ind w:left="8360"/>
        <w:spacing w:after="0"/>
        <w:rPr>
          <w:sz w:val="20"/>
          <w:szCs w:val="20"/>
          <w:color w:val="auto"/>
        </w:rPr>
      </w:pPr>
      <w:r>
        <w:rPr>
          <w:rFonts w:ascii="Arial" w:cs="Arial" w:eastAsia="Arial" w:hAnsi="Arial"/>
          <w:sz w:val="14"/>
          <w:szCs w:val="14"/>
          <w:color w:val="auto"/>
        </w:rPr>
        <w:t>Nine-month periods</w:t>
      </w:r>
    </w:p>
    <w:p>
      <w:pPr>
        <w:ind w:left="8320"/>
        <w:spacing w:after="0" w:line="231" w:lineRule="auto"/>
        <w:rPr>
          <w:sz w:val="20"/>
          <w:szCs w:val="20"/>
          <w:color w:val="auto"/>
        </w:rPr>
      </w:pPr>
      <w:r>
        <w:rPr>
          <w:rFonts w:ascii="Arial" w:cs="Arial" w:eastAsia="Arial" w:hAnsi="Arial"/>
          <w:sz w:val="14"/>
          <w:szCs w:val="14"/>
          <w:color w:val="auto"/>
        </w:rPr>
        <w:t>ended September 30,</w:t>
      </w:r>
    </w:p>
    <w:tbl>
      <w:tblPr>
        <w:tblLayout w:type="fixed"/>
        <w:tblInd w:w="150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2013</w:t>
            </w:r>
          </w:p>
        </w:tc>
        <w:tc>
          <w:tcPr>
            <w:tcW w:w="5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(2,047)</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$25,589</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(627)</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w w:val="91"/>
              </w:rPr>
              <w:t>$ (1,424)</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620" w:right="40"/>
        <w:spacing w:after="0" w:line="259" w:lineRule="auto"/>
        <w:rPr>
          <w:sz w:val="20"/>
          <w:szCs w:val="20"/>
          <w:color w:val="auto"/>
        </w:rPr>
      </w:pPr>
      <w:r>
        <w:rPr>
          <w:rFonts w:ascii="Arial" w:cs="Arial" w:eastAsia="Arial" w:hAnsi="Arial"/>
          <w:sz w:val="18"/>
          <w:szCs w:val="18"/>
          <w:color w:val="auto"/>
        </w:rPr>
        <w:t>The VIE contributed an aggregate of 100% and 100% of the consolidated net revenues for the nine-month periods ended September 30, 2013 and 2014, respectively. As of December 31, 2013 and September 30, 2014, the VIE accounted for an aggregate of 7.0% and 13.1%, respectively, of the consolidated total assets, and 81.3% and 58.3%, respectively, of the consolidated total liabilities. The assets that were not associated with the VIE primarily consist of cash and cash equivalents.</w:t>
      </w:r>
    </w:p>
    <w:p>
      <w:pPr>
        <w:spacing w:after="0" w:line="331" w:lineRule="exact"/>
        <w:rPr>
          <w:sz w:val="20"/>
          <w:szCs w:val="20"/>
          <w:color w:val="auto"/>
        </w:rPr>
      </w:pPr>
    </w:p>
    <w:p>
      <w:pPr>
        <w:ind w:left="620" w:right="7220" w:hanging="441"/>
        <w:spacing w:after="0" w:line="378" w:lineRule="auto"/>
        <w:tabs>
          <w:tab w:leader="none" w:pos="61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Revenue recognition</w:t>
      </w:r>
    </w:p>
    <w:p>
      <w:pPr>
        <w:ind w:left="620"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persuasive evidence of an arrangement exists, delivery has occurred, the sales price is fixed or determinable, and collectability is reasonably assured. The Group principally derives its revenue from membership subscription services, offering the platform for mobile games developed by third parties and other services, including the use of the paid emoticons and mobile marketing services.</w:t>
      </w:r>
    </w:p>
    <w:p>
      <w:pPr>
        <w:spacing w:after="0" w:line="295" w:lineRule="exact"/>
        <w:rPr>
          <w:sz w:val="20"/>
          <w:szCs w:val="20"/>
          <w:color w:val="auto"/>
        </w:rPr>
      </w:pPr>
    </w:p>
    <w:p>
      <w:pPr>
        <w:ind w:left="1040" w:hanging="429"/>
        <w:spacing w:after="0"/>
        <w:tabs>
          <w:tab w:leader="none" w:pos="10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Membership subscription</w:t>
      </w:r>
    </w:p>
    <w:p>
      <w:pPr>
        <w:spacing w:after="0" w:line="117" w:lineRule="exact"/>
        <w:rPr>
          <w:sz w:val="20"/>
          <w:szCs w:val="20"/>
          <w:color w:val="auto"/>
        </w:rPr>
      </w:pPr>
    </w:p>
    <w:p>
      <w:pPr>
        <w:ind w:left="1060" w:right="160"/>
        <w:spacing w:after="0" w:line="259" w:lineRule="auto"/>
        <w:rPr>
          <w:sz w:val="20"/>
          <w:szCs w:val="20"/>
          <w:color w:val="auto"/>
        </w:rPr>
      </w:pPr>
      <w:r>
        <w:rPr>
          <w:rFonts w:ascii="Arial" w:cs="Arial" w:eastAsia="Arial" w:hAnsi="Arial"/>
          <w:sz w:val="18"/>
          <w:szCs w:val="18"/>
          <w:color w:val="auto"/>
        </w:rPr>
        <w:t>Membership subscription is a service package which enables members to enjoy additional functions and privileges. The contract period for the membership subscription ranges from one month to one year. All membership subscription is nonrefundable. The Group collects membership subscription in advance and records it as deferred revenue. Revenue is recognized ratably over the contract period for the membership subscription services.</w:t>
      </w:r>
    </w:p>
    <w:p>
      <w:pPr>
        <w:spacing w:after="0" w:line="79" w:lineRule="exact"/>
        <w:rPr>
          <w:sz w:val="20"/>
          <w:szCs w:val="20"/>
          <w:color w:val="auto"/>
        </w:rPr>
      </w:pPr>
    </w:p>
    <w:p>
      <w:pPr>
        <w:ind w:left="1060" w:right="120"/>
        <w:spacing w:after="0" w:line="277" w:lineRule="auto"/>
        <w:rPr>
          <w:sz w:val="20"/>
          <w:szCs w:val="20"/>
          <w:color w:val="auto"/>
        </w:rPr>
      </w:pPr>
      <w:r>
        <w:rPr>
          <w:rFonts w:ascii="Arial" w:cs="Arial" w:eastAsia="Arial" w:hAnsi="Arial"/>
          <w:sz w:val="18"/>
          <w:szCs w:val="18"/>
          <w:color w:val="auto"/>
        </w:rPr>
        <w:t>Net revenues of $759 and $17,853 were recognized for membership subscription for the nine-month periods ended September 30, 2013 and 2014.</w:t>
      </w:r>
    </w:p>
    <w:p>
      <w:pPr>
        <w:spacing w:after="0" w:line="319" w:lineRule="exact"/>
        <w:rPr>
          <w:sz w:val="20"/>
          <w:szCs w:val="20"/>
          <w:color w:val="auto"/>
        </w:rPr>
      </w:pPr>
    </w:p>
    <w:p>
      <w:pPr>
        <w:ind w:left="1040" w:hanging="429"/>
        <w:spacing w:after="0"/>
        <w:tabs>
          <w:tab w:leader="none" w:pos="10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Mobile games</w:t>
      </w:r>
    </w:p>
    <w:p>
      <w:pPr>
        <w:spacing w:after="0" w:line="117" w:lineRule="exact"/>
        <w:rPr>
          <w:sz w:val="20"/>
          <w:szCs w:val="20"/>
          <w:color w:val="auto"/>
        </w:rPr>
      </w:pPr>
    </w:p>
    <w:p>
      <w:pPr>
        <w:ind w:left="1060"/>
        <w:spacing w:after="0" w:line="297" w:lineRule="auto"/>
        <w:rPr>
          <w:sz w:val="20"/>
          <w:szCs w:val="20"/>
          <w:color w:val="auto"/>
        </w:rPr>
      </w:pPr>
      <w:r>
        <w:rPr>
          <w:rFonts w:ascii="Arial" w:cs="Arial" w:eastAsia="Arial" w:hAnsi="Arial"/>
          <w:sz w:val="16"/>
          <w:szCs w:val="16"/>
          <w:color w:val="auto"/>
        </w:rPr>
        <w:t>The Group provides game services and generates revenue from offering the platform for mobile games developed by third-party game developers. All of the games are developed by third-party game developers and can be accessed and played by game players directly through the Group’s mobile game platform. The Group primarily views the game developers to be its customers and considers its responsibility under its agreements with the game developers to be promotion of the game developers’ games. The Group generally collects payments from game players in connection with the sale of in-game currencies and remits certain agreed-upon percentages of the proceeds to the game developers</w:t>
      </w: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40" w:right="238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6460" w:hanging="452"/>
        <w:spacing w:after="0" w:line="425" w:lineRule="auto"/>
        <w:tabs>
          <w:tab w:leader="none" w:pos="449"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continued</w:t>
      </w:r>
    </w:p>
    <w:p>
      <w:pPr>
        <w:ind w:left="900" w:hanging="446"/>
        <w:spacing w:after="0"/>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Mobile games - continued</w:t>
      </w:r>
    </w:p>
    <w:p>
      <w:pPr>
        <w:spacing w:after="0" w:line="333" w:lineRule="exact"/>
        <w:rPr>
          <w:sz w:val="20"/>
          <w:szCs w:val="20"/>
          <w:color w:val="auto"/>
        </w:rPr>
      </w:pPr>
    </w:p>
    <w:p>
      <w:pPr>
        <w:jc w:val="both"/>
        <w:ind w:left="1060"/>
        <w:spacing w:after="0" w:line="302" w:lineRule="auto"/>
        <w:rPr>
          <w:sz w:val="20"/>
          <w:szCs w:val="20"/>
          <w:color w:val="auto"/>
        </w:rPr>
      </w:pPr>
      <w:r>
        <w:rPr>
          <w:rFonts w:ascii="Arial" w:cs="Arial" w:eastAsia="Arial" w:hAnsi="Arial"/>
          <w:sz w:val="16"/>
          <w:szCs w:val="16"/>
          <w:color w:val="auto"/>
        </w:rPr>
        <w:t>and records revenue net of remittances. Purchases of in-game currencies are not refundable after they have been sold unless there are unused in-game currencies at the time a game is discontinued. Typically, a game will only be discontinued when the monthly revenue generated by a game becomes consistently insignificant. In the Group’s short history of providing mobile game services, the Group has never been required to pay cash refunds to game players or game developers in connection with the used in-game currencies of a discontinued game.</w:t>
      </w:r>
    </w:p>
    <w:p>
      <w:pPr>
        <w:spacing w:after="0" w:line="262"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Non-exclusive mobile games services</w:t>
      </w:r>
    </w:p>
    <w:p>
      <w:pPr>
        <w:spacing w:after="0" w:line="117" w:lineRule="exact"/>
        <w:rPr>
          <w:sz w:val="20"/>
          <w:szCs w:val="20"/>
          <w:color w:val="auto"/>
        </w:rPr>
      </w:pPr>
    </w:p>
    <w:p>
      <w:pPr>
        <w:ind w:left="1060" w:right="60"/>
        <w:spacing w:after="0" w:line="255" w:lineRule="auto"/>
        <w:rPr>
          <w:sz w:val="20"/>
          <w:szCs w:val="20"/>
          <w:color w:val="auto"/>
        </w:rPr>
      </w:pPr>
      <w:r>
        <w:rPr>
          <w:rFonts w:ascii="Arial" w:cs="Arial" w:eastAsia="Arial" w:hAnsi="Arial"/>
          <w:sz w:val="18"/>
          <w:szCs w:val="18"/>
          <w:color w:val="auto"/>
        </w:rPr>
        <w:t>The Group enters into non-exclusive agreements with the game developers and offers the Group’s mobile game platform for the mobile games developed by the game developers. The Group has determined that it has no additional performance obligation to the developers or game players upon players’ completion of the corresponding in-game purchase. Therefore, revenues from the sale of in-game currencies are primarily recorded net of remittances to game developers and deferred until the estimated consumption date by individual game (i.e., the estimated date in-game currencies are consumed within the game), which is typically within a short period of time ranging from one to four days after purchase of the in-game currencies.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Exclusive mobile games services</w:t>
      </w:r>
    </w:p>
    <w:p>
      <w:pPr>
        <w:spacing w:after="0" w:line="117" w:lineRule="exact"/>
        <w:rPr>
          <w:sz w:val="20"/>
          <w:szCs w:val="20"/>
          <w:color w:val="auto"/>
        </w:rPr>
      </w:pPr>
    </w:p>
    <w:p>
      <w:pPr>
        <w:ind w:left="1060"/>
        <w:spacing w:after="0" w:line="270" w:lineRule="auto"/>
        <w:rPr>
          <w:sz w:val="20"/>
          <w:szCs w:val="20"/>
          <w:color w:val="auto"/>
        </w:rPr>
      </w:pPr>
      <w:r>
        <w:rPr>
          <w:rFonts w:ascii="Arial" w:cs="Arial" w:eastAsia="Arial" w:hAnsi="Arial"/>
          <w:sz w:val="17"/>
          <w:szCs w:val="17"/>
          <w:color w:val="auto"/>
        </w:rPr>
        <w:t>The Group enters into an exclusive agreement with the game developer and provides the Group’s mobile game platform for such mobile game developed by the game developer. Under this exclusive agreement, the players can access to the game only through the Group’s platform. The Group has determined that it is obligated to provide mobile games services to game players who purchased virtual items to gain an enhanced game-playing experience over an average period of player relationship. Hence, the Group believes that its performance for, and obligation to, the game developers correspond to the game developers’ services to the players. The Group does not have access to the data on the consumption details and the types of virtual items purchased by the game players. Therefore, the Group cannot estimate the economic life of the virtual item. However, the Group maintains data of when a particular player purchases the virtual items and logs into the game. The Group has adopted a policy to recognize revenues net of remittances to game developers over the estimated period of player relationship on a game-by-game basis. As of September 30, 2014, the Company operated only one game under an exclusive arrangement and the estimated period of the player relationship for that game is 45 days.</w:t>
      </w:r>
    </w:p>
    <w:p>
      <w:pPr>
        <w:spacing w:after="0" w:line="70" w:lineRule="exact"/>
        <w:rPr>
          <w:sz w:val="20"/>
          <w:szCs w:val="20"/>
          <w:color w:val="auto"/>
        </w:rPr>
      </w:pPr>
    </w:p>
    <w:p>
      <w:pPr>
        <w:ind w:left="1060" w:right="620"/>
        <w:spacing w:after="0" w:line="277" w:lineRule="auto"/>
        <w:rPr>
          <w:sz w:val="20"/>
          <w:szCs w:val="20"/>
          <w:color w:val="auto"/>
        </w:rPr>
      </w:pPr>
      <w:r>
        <w:rPr>
          <w:rFonts w:ascii="Arial" w:cs="Arial" w:eastAsia="Arial" w:hAnsi="Arial"/>
          <w:sz w:val="18"/>
          <w:szCs w:val="18"/>
          <w:color w:val="auto"/>
        </w:rPr>
        <w:t>Net revenues of $nil and $6,891 were recognized for mobile games for the nine-month periods ended September 30, 2013 and 2014, respectively.</w:t>
      </w: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6480" w:hanging="452"/>
        <w:spacing w:after="0" w:line="454" w:lineRule="auto"/>
        <w:tabs>
          <w:tab w:leader="none" w:pos="449"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continued</w:t>
      </w:r>
    </w:p>
    <w:p>
      <w:pPr>
        <w:spacing w:after="0" w:line="126" w:lineRule="exact"/>
        <w:rPr>
          <w:sz w:val="20"/>
          <w:szCs w:val="20"/>
          <w:color w:val="auto"/>
        </w:rPr>
      </w:pPr>
    </w:p>
    <w:p>
      <w:pPr>
        <w:ind w:left="1040" w:hanging="429"/>
        <w:spacing w:after="0"/>
        <w:tabs>
          <w:tab w:leader="none" w:pos="10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Paid emoticons</w:t>
      </w:r>
    </w:p>
    <w:p>
      <w:pPr>
        <w:spacing w:after="0" w:line="117" w:lineRule="exact"/>
        <w:rPr>
          <w:sz w:val="20"/>
          <w:szCs w:val="20"/>
          <w:color w:val="auto"/>
        </w:rPr>
      </w:pPr>
    </w:p>
    <w:p>
      <w:pPr>
        <w:ind w:left="1060" w:right="320"/>
        <w:spacing w:after="0" w:line="264" w:lineRule="auto"/>
        <w:rPr>
          <w:sz w:val="20"/>
          <w:szCs w:val="20"/>
          <w:color w:val="auto"/>
        </w:rPr>
      </w:pPr>
      <w:r>
        <w:rPr>
          <w:rFonts w:ascii="Arial" w:cs="Arial" w:eastAsia="Arial" w:hAnsi="Arial"/>
          <w:sz w:val="18"/>
          <w:szCs w:val="18"/>
          <w:color w:val="auto"/>
        </w:rPr>
        <w:t>All paid emoticons are durable with indefinite lives and each of them is effective upon purchase payment made by a user and completely downloads. The price of each emoticon is fixed and identifiable. The revenue is recognized ratably over the estimated usage life of the emoticon (i.e. 180 days) by the user from the date of the emoticon is downloaded.</w:t>
      </w:r>
    </w:p>
    <w:p>
      <w:pPr>
        <w:spacing w:after="0" w:line="73" w:lineRule="exact"/>
        <w:rPr>
          <w:sz w:val="20"/>
          <w:szCs w:val="20"/>
          <w:color w:val="auto"/>
        </w:rPr>
      </w:pPr>
    </w:p>
    <w:p>
      <w:pPr>
        <w:ind w:left="1060" w:right="140"/>
        <w:spacing w:after="0" w:line="308" w:lineRule="auto"/>
        <w:rPr>
          <w:sz w:val="20"/>
          <w:szCs w:val="20"/>
          <w:color w:val="auto"/>
        </w:rPr>
      </w:pPr>
      <w:r>
        <w:rPr>
          <w:rFonts w:ascii="Arial" w:cs="Arial" w:eastAsia="Arial" w:hAnsi="Arial"/>
          <w:sz w:val="17"/>
          <w:szCs w:val="17"/>
          <w:color w:val="auto"/>
        </w:rPr>
        <w:t>The Group reassesses the estimated lives periodically. If there are indications of any significant changes to their estimated lives, the revised estimates will be applied prospectively in the period of change to all existing emoticons which are not totally amortized.</w:t>
      </w:r>
    </w:p>
    <w:p>
      <w:pPr>
        <w:spacing w:after="0" w:line="38" w:lineRule="exact"/>
        <w:rPr>
          <w:sz w:val="20"/>
          <w:szCs w:val="20"/>
          <w:color w:val="auto"/>
        </w:rPr>
      </w:pPr>
    </w:p>
    <w:p>
      <w:pPr>
        <w:ind w:left="1060" w:right="220"/>
        <w:spacing w:after="0" w:line="277" w:lineRule="auto"/>
        <w:rPr>
          <w:sz w:val="20"/>
          <w:szCs w:val="20"/>
          <w:color w:val="auto"/>
        </w:rPr>
      </w:pPr>
      <w:r>
        <w:rPr>
          <w:rFonts w:ascii="Arial" w:cs="Arial" w:eastAsia="Arial" w:hAnsi="Arial"/>
          <w:sz w:val="18"/>
          <w:szCs w:val="18"/>
          <w:color w:val="auto"/>
        </w:rPr>
        <w:t>Net revenues of $46 and $1,039 were recognized for the use of emoticons on its platform for the nine-month periods ended September 30, 2013 and 2014, respectively.</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Advertising barter transactions</w:t>
      </w:r>
    </w:p>
    <w:p>
      <w:pPr>
        <w:spacing w:after="0" w:line="117" w:lineRule="exact"/>
        <w:rPr>
          <w:sz w:val="20"/>
          <w:szCs w:val="20"/>
          <w:color w:val="auto"/>
        </w:rPr>
      </w:pPr>
    </w:p>
    <w:p>
      <w:pPr>
        <w:ind w:left="620"/>
        <w:spacing w:after="0" w:line="288" w:lineRule="auto"/>
        <w:rPr>
          <w:sz w:val="20"/>
          <w:szCs w:val="20"/>
          <w:color w:val="auto"/>
        </w:rPr>
      </w:pPr>
      <w:r>
        <w:rPr>
          <w:rFonts w:ascii="Arial" w:cs="Arial" w:eastAsia="Arial" w:hAnsi="Arial"/>
          <w:sz w:val="16"/>
          <w:szCs w:val="16"/>
          <w:color w:val="auto"/>
        </w:rPr>
        <w:t>The Group engages in barter transactions where it trades advertising resources with certain third parties for other advertising resources. The Group recognizes revenues and expenses at fair value only if the fair value of the services exchanged in the transaction is determinable based on the Group’s own historical practice of receiving cash or other consideration that is readily convertible to a known amount of cash for similar advertising resources from customers unrelated to the party in the barter transaction. In the nine-month period ended September 30, 2014, the Group engaged in one advertising barter transaction with an independent counterparty, for which the Group shall display the counterparty’s brand or product promotion information on its own platform in exchange for advertising to be displayed on the counterparty’s advertising media. The fair value of this transaction was not determinable due to the lack of the Group’s similar historical practice. Therefore, the advertising barter transaction shall be recorded based on the carrying amount of the advertising surrendered, which is the estimated cost to be incurred. As of September 30, 2014, the Group has not provided the services to the counterparty but has received the advertising services provided by the counterparty. However, the Group didn’t record any expenses or deferred revenue because the estimated cost to be incurred is insignificant.</w:t>
      </w:r>
    </w:p>
    <w:p>
      <w:pPr>
        <w:spacing w:after="0" w:line="27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620" w:right="20"/>
        <w:spacing w:after="0" w:line="257" w:lineRule="auto"/>
        <w:rPr>
          <w:sz w:val="20"/>
          <w:szCs w:val="20"/>
          <w:color w:val="auto"/>
        </w:rPr>
      </w:pPr>
      <w:r>
        <w:rPr>
          <w:rFonts w:ascii="Arial" w:cs="Arial" w:eastAsia="Arial" w:hAnsi="Arial"/>
          <w:sz w:val="18"/>
          <w:szCs w:val="18"/>
          <w:color w:val="auto"/>
        </w:rPr>
        <w:t>The Renminbi (“RMB”) is not a freely convertible currency. The State Administration for Foreign Exchange, under the authority of the People’s Bank of China, controls the conversion of RMB into foreign currencies. The value of the RMB is subject to changes in central government policies and to international economic and political developments affecting supply and demand in the China Foreign Exchange Trading System market. Cash and cash equivalents of the Group included aggregate amounts of $3,723 and $14,550 as of December 31, 2013 and September 30, 2014 respectively, which were denominated in RMB.</w:t>
      </w:r>
    </w:p>
    <w:p>
      <w:pPr>
        <w:spacing w:after="0" w:line="29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620" w:right="60"/>
        <w:spacing w:after="0" w:line="277" w:lineRule="auto"/>
        <w:rPr>
          <w:sz w:val="20"/>
          <w:szCs w:val="20"/>
          <w:color w:val="auto"/>
        </w:rPr>
      </w:pPr>
      <w:r>
        <w:rPr>
          <w:rFonts w:ascii="Arial" w:cs="Arial" w:eastAsia="Arial" w:hAnsi="Arial"/>
          <w:sz w:val="18"/>
          <w:szCs w:val="18"/>
          <w:color w:val="auto"/>
        </w:rPr>
        <w:t>Financial instruments that potentially expose the Group to concentration of credit risk consist primarily of cash and cash equivalents, and accounts receivable. The Group places their cash with financial institutions with high-credit ratings and quality.</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240" w:top="460" w:right="4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6480" w:hanging="452"/>
        <w:spacing w:after="0" w:line="454" w:lineRule="auto"/>
        <w:tabs>
          <w:tab w:leader="none" w:pos="449"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 continued</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Third-party payment channels accounting for 10% or more of accounts receivables are as follows:</w:t>
      </w:r>
    </w:p>
    <w:p>
      <w:pPr>
        <w:spacing w:after="0" w:line="23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20" w:type="dxa"/>
            <w:vAlign w:val="bottom"/>
            <w:gridSpan w:val="2"/>
          </w:tcPr>
          <w:p>
            <w:pPr>
              <w:jc w:val="center"/>
              <w:ind w:right="1180"/>
              <w:spacing w:after="0"/>
              <w:rPr>
                <w:sz w:val="20"/>
                <w:szCs w:val="20"/>
                <w:color w:val="auto"/>
              </w:rPr>
            </w:pPr>
            <w:r>
              <w:rPr>
                <w:rFonts w:ascii="Arial" w:cs="Arial" w:eastAsia="Arial" w:hAnsi="Arial"/>
                <w:sz w:val="14"/>
                <w:szCs w:val="14"/>
                <w:color w:val="auto"/>
                <w:w w:val="90"/>
              </w:rPr>
              <w:t>December 31,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September 30,</w:t>
            </w:r>
          </w:p>
        </w:tc>
      </w:tr>
      <w:tr>
        <w:trPr>
          <w:trHeight w:val="167"/>
        </w:trPr>
        <w:tc>
          <w:tcPr>
            <w:tcW w:w="7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B</w:t>
            </w: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24%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E</w:t>
            </w: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bl>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sales generated from games that individually accounting for 10% or more of net revenues:</w:t>
      </w:r>
    </w:p>
    <w:p>
      <w:pPr>
        <w:spacing w:after="0" w:line="247" w:lineRule="exact"/>
        <w:rPr>
          <w:sz w:val="20"/>
          <w:szCs w:val="20"/>
          <w:color w:val="auto"/>
        </w:rPr>
      </w:pPr>
    </w:p>
    <w:p>
      <w:pPr>
        <w:jc w:val="center"/>
        <w:ind w:left="7380"/>
        <w:spacing w:after="0"/>
        <w:rPr>
          <w:sz w:val="20"/>
          <w:szCs w:val="20"/>
          <w:color w:val="auto"/>
        </w:rPr>
      </w:pPr>
      <w:r>
        <w:rPr>
          <w:rFonts w:ascii="Arial" w:cs="Arial" w:eastAsia="Arial" w:hAnsi="Arial"/>
          <w:sz w:val="14"/>
          <w:szCs w:val="14"/>
          <w:color w:val="auto"/>
        </w:rPr>
        <w:t>For the nine-month</w:t>
      </w:r>
    </w:p>
    <w:p>
      <w:pPr>
        <w:jc w:val="center"/>
        <w:ind w:left="7380"/>
        <w:spacing w:after="0"/>
        <w:rPr>
          <w:sz w:val="20"/>
          <w:szCs w:val="20"/>
          <w:color w:val="auto"/>
        </w:rPr>
      </w:pPr>
      <w:r>
        <w:rPr>
          <w:rFonts w:ascii="Arial" w:cs="Arial" w:eastAsia="Arial" w:hAnsi="Arial"/>
          <w:sz w:val="14"/>
          <w:szCs w:val="14"/>
          <w:color w:val="auto"/>
        </w:rPr>
        <w:t>periods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-3175</wp:posOffset>
            </wp:positionV>
            <wp:extent cx="15176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8400"/>
        <w:spacing w:after="0" w:line="235" w:lineRule="auto"/>
        <w:tabs>
          <w:tab w:leader="none" w:pos="10120" w:val="left"/>
        </w:tabs>
        <w:rPr>
          <w:sz w:val="20"/>
          <w:szCs w:val="20"/>
          <w:color w:val="auto"/>
        </w:rPr>
      </w:pP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0</wp:posOffset>
            </wp:positionV>
            <wp:extent cx="6466205" cy="146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66205" cy="146050"/>
                    </a:xfrm>
                    <a:prstGeom prst="rect">
                      <a:avLst/>
                    </a:prstGeom>
                    <a:noFill/>
                  </pic:spPr>
                </pic:pic>
              </a:graphicData>
            </a:graphic>
          </wp:anchor>
        </w:drawing>
      </w:r>
    </w:p>
    <w:p>
      <w:pPr>
        <w:ind w:left="620"/>
        <w:spacing w:after="0"/>
        <w:tabs>
          <w:tab w:leader="none" w:pos="8580" w:val="left"/>
          <w:tab w:leader="none" w:pos="10400" w:val="left"/>
        </w:tabs>
        <w:rPr>
          <w:sz w:val="20"/>
          <w:szCs w:val="20"/>
          <w:color w:val="auto"/>
        </w:rPr>
      </w:pPr>
      <w:r>
        <w:rPr>
          <w:rFonts w:ascii="Arial" w:cs="Arial" w:eastAsia="Arial" w:hAnsi="Arial"/>
          <w:sz w:val="18"/>
          <w:szCs w:val="18"/>
          <w:color w:val="auto"/>
        </w:rPr>
        <w:t>Game 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user accounted for 10% or more of net revenues for the nine-month periods ended September 30, 2013 and 2014, respectively.</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left="620" w:right="420"/>
        <w:spacing w:after="0" w:line="264" w:lineRule="auto"/>
        <w:rPr>
          <w:sz w:val="20"/>
          <w:szCs w:val="20"/>
          <w:color w:val="auto"/>
        </w:rPr>
      </w:pPr>
      <w:r>
        <w:rPr>
          <w:rFonts w:ascii="Arial" w:cs="Arial" w:eastAsia="Arial" w:hAnsi="Arial"/>
          <w:sz w:val="18"/>
          <w:szCs w:val="18"/>
          <w:color w:val="auto"/>
        </w:rPr>
        <w:t>The Group expenses advertising expenses as incurred. Total advertising expenses incurred were $474 and $21,790 for the nine-month periods ended September 30, 2013 and 2014, respectively, and have been included in sales and marketing expenses in the unaudited condensed consolidated statements of operations.</w:t>
      </w:r>
    </w:p>
    <w:p>
      <w:pPr>
        <w:spacing w:after="0" w:line="28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jc w:val="both"/>
        <w:ind w:left="620" w:right="260"/>
        <w:spacing w:after="0" w:line="264" w:lineRule="auto"/>
        <w:rPr>
          <w:sz w:val="20"/>
          <w:szCs w:val="20"/>
          <w:color w:val="auto"/>
        </w:rPr>
      </w:pPr>
      <w:r>
        <w:rPr>
          <w:rFonts w:ascii="Arial" w:cs="Arial" w:eastAsia="Arial" w:hAnsi="Arial"/>
          <w:sz w:val="18"/>
          <w:szCs w:val="18"/>
          <w:color w:val="auto"/>
        </w:rPr>
        <w:t>Unaudited pro forma balance sheet information as of September 30, 2014 assumes the automatic conversion of all of the outstanding Series A-1 shares, Series A-2 shares, Series A-3 shares, Series B shares, Series C shares and Series D shares into ordinary shares at the original conversion ratio, as if the conversion had occurred as of September 30, 2014.</w:t>
      </w:r>
    </w:p>
    <w:p>
      <w:pPr>
        <w:spacing w:after="0" w:line="73" w:lineRule="exact"/>
        <w:rPr>
          <w:sz w:val="20"/>
          <w:szCs w:val="20"/>
          <w:color w:val="auto"/>
        </w:rPr>
      </w:pPr>
    </w:p>
    <w:p>
      <w:pPr>
        <w:ind w:left="620"/>
        <w:spacing w:after="0" w:line="259" w:lineRule="auto"/>
        <w:rPr>
          <w:sz w:val="20"/>
          <w:szCs w:val="20"/>
          <w:color w:val="auto"/>
        </w:rPr>
      </w:pPr>
      <w:r>
        <w:rPr>
          <w:rFonts w:ascii="Arial" w:cs="Arial" w:eastAsia="Arial" w:hAnsi="Arial"/>
          <w:sz w:val="18"/>
          <w:szCs w:val="18"/>
          <w:color w:val="auto"/>
        </w:rPr>
        <w:t>Proforma net loss per share is not presented because the effect of the conversion of the outstanding Series A-1 shares, Series A-2 shares, Series A-3 shares, Series B shares, Series C shares and Series D shares using conversion ratio of 1:1, would not result in any dilution to loss applicable to ordinary shareholders and would have resulted in a proforma net loss per share higher than the actual basic net loss per share for the period ended September 30, 2014.</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117" w:lineRule="exact"/>
        <w:rPr>
          <w:sz w:val="20"/>
          <w:szCs w:val="20"/>
          <w:color w:val="auto"/>
        </w:rPr>
      </w:pPr>
    </w:p>
    <w:p>
      <w:pPr>
        <w:ind w:left="620"/>
        <w:spacing w:after="0" w:line="264" w:lineRule="auto"/>
        <w:rPr>
          <w:sz w:val="20"/>
          <w:szCs w:val="20"/>
          <w:color w:val="auto"/>
        </w:rPr>
      </w:pPr>
      <w:r>
        <w:rPr>
          <w:rFonts w:ascii="Arial" w:cs="Arial" w:eastAsia="Arial" w:hAnsi="Arial"/>
          <w:sz w:val="18"/>
          <w:szCs w:val="18"/>
          <w:color w:val="auto"/>
        </w:rPr>
        <w:t>In July 2013, the FASB issued a pronouncement which provides guidance on financial statement presentation of an unrecognized tax benefits when a net operating loss carry forward, a similar tax loss, or a tax credit carry forward exists. The FASB’s objective in issuing this ASU is to eliminate diversity in practice resulting from a lack of guidance on this topic in current U.S. GAAP.</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240" w:top="460" w:right="4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40" w:right="238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6460" w:hanging="452"/>
        <w:spacing w:after="0" w:line="541" w:lineRule="auto"/>
        <w:tabs>
          <w:tab w:leader="none" w:pos="449"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 continued </w:t>
      </w:r>
      <w:r>
        <w:rPr>
          <w:rFonts w:ascii="Arial" w:cs="Arial" w:eastAsia="Arial" w:hAnsi="Arial"/>
          <w:sz w:val="16"/>
          <w:szCs w:val="16"/>
          <w:b w:val="1"/>
          <w:bCs w:val="1"/>
          <w:i w:val="1"/>
          <w:iCs w:val="1"/>
          <w:color w:val="auto"/>
        </w:rPr>
        <w:t xml:space="preserve">Recent accounting pronouncements adopted </w:t>
      </w:r>
      <w:r>
        <w:rPr>
          <w:rFonts w:ascii="Arial" w:cs="Arial" w:eastAsia="Arial" w:hAnsi="Arial"/>
          <w:sz w:val="16"/>
          <w:szCs w:val="16"/>
          <w:color w:val="auto"/>
        </w:rPr>
        <w:t>- continued</w:t>
      </w:r>
    </w:p>
    <w:p>
      <w:pPr>
        <w:spacing w:after="0" w:line="79" w:lineRule="exact"/>
        <w:rPr>
          <w:sz w:val="20"/>
          <w:szCs w:val="20"/>
          <w:color w:val="auto"/>
        </w:rPr>
      </w:pPr>
    </w:p>
    <w:p>
      <w:pPr>
        <w:ind w:left="620" w:right="120"/>
        <w:spacing w:after="0" w:line="255" w:lineRule="auto"/>
        <w:rPr>
          <w:sz w:val="20"/>
          <w:szCs w:val="20"/>
          <w:color w:val="auto"/>
        </w:rPr>
      </w:pPr>
      <w:r>
        <w:rPr>
          <w:rFonts w:ascii="Arial" w:cs="Arial" w:eastAsia="Arial" w:hAnsi="Arial"/>
          <w:sz w:val="18"/>
          <w:szCs w:val="18"/>
          <w:color w:val="auto"/>
        </w:rPr>
        <w:t>The amendments in this ASU state that an unrecognized tax benefit, or a portion of an unrecognized tax benefit, should be presented in the financial statements as a reduction to a deferred tax asset for a net operating loss carry forward, a similar tax loss, or a tax credit carry forward, except as follows. To the extent a net operating loss carry forward, a similar tax loss, or a tax credit carry 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w:t>
      </w:r>
    </w:p>
    <w:p>
      <w:pPr>
        <w:spacing w:after="0" w:line="81" w:lineRule="exact"/>
        <w:rPr>
          <w:sz w:val="20"/>
          <w:szCs w:val="20"/>
          <w:color w:val="auto"/>
        </w:rPr>
      </w:pPr>
    </w:p>
    <w:p>
      <w:pPr>
        <w:ind w:left="620" w:right="40"/>
        <w:spacing w:after="0" w:line="257" w:lineRule="auto"/>
        <w:rPr>
          <w:sz w:val="20"/>
          <w:szCs w:val="20"/>
          <w:color w:val="auto"/>
        </w:rPr>
      </w:pPr>
      <w:r>
        <w:rPr>
          <w:rFonts w:ascii="Arial" w:cs="Arial" w:eastAsia="Arial" w:hAnsi="Arial"/>
          <w:sz w:val="18"/>
          <w:szCs w:val="18"/>
          <w:color w:val="auto"/>
        </w:rPr>
        <w:t>This ASU applies to all entities that have unrecognized tax benefits when a net operating loss carry forward, a similar tax loss, or a tax credit carry forward exists at the reporting date. The amendments in this ASU are effective for fiscal years, and interim periods within those years, beginning after December 15, 2013. Early adoption is permitted. The amendments should be applied prospectively to all unrecognized tax benefits that exist at the effective date. Retrospective application is permitted. The adoption of this guidance did not have a significant effect on the Group’s consolidated financial statements.</w:t>
      </w:r>
    </w:p>
    <w:p>
      <w:pPr>
        <w:spacing w:after="0" w:line="29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left="620" w:right="40"/>
        <w:spacing w:after="0" w:line="259" w:lineRule="auto"/>
        <w:rPr>
          <w:sz w:val="20"/>
          <w:szCs w:val="20"/>
          <w:color w:val="auto"/>
        </w:rPr>
      </w:pPr>
      <w:r>
        <w:rPr>
          <w:rFonts w:ascii="Arial" w:cs="Arial" w:eastAsia="Arial" w:hAnsi="Arial"/>
          <w:sz w:val="18"/>
          <w:szCs w:val="18"/>
          <w:color w:val="auto"/>
        </w:rPr>
        <w:t>In May 2014, the FASB issued, ASU 2014-09, “Revenue from Contracts with Customers (Topic 606)”. The guidance substantially converges final standards on revenue recognition between the FASB and the International Accounting Standards Board providing a framework on addressing revenue recognition issues and, upon its effective date, replaces almost all exiting revenue recognition guidance, including industry-specific guidance, in current U.S. generally accepted accounting principles.</w:t>
      </w:r>
    </w:p>
    <w:p>
      <w:pPr>
        <w:spacing w:after="0" w:line="79" w:lineRule="exact"/>
        <w:rPr>
          <w:sz w:val="20"/>
          <w:szCs w:val="20"/>
          <w:color w:val="auto"/>
        </w:rPr>
      </w:pPr>
    </w:p>
    <w:p>
      <w:pPr>
        <w:ind w:left="620"/>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87" w:lineRule="exact"/>
        <w:rPr>
          <w:sz w:val="20"/>
          <w:szCs w:val="20"/>
          <w:color w:val="auto"/>
        </w:rPr>
      </w:pPr>
    </w:p>
    <w:p>
      <w:pPr>
        <w:ind w:left="1040" w:hanging="321"/>
        <w:spacing w:after="0"/>
        <w:tabs>
          <w:tab w:leader="none" w:pos="10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Step 1: Identify the contract(s) with a customer.</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Step 5: Recognize revenue when (or as) the entity satisfies a performance obligation.</w:t>
      </w:r>
    </w:p>
    <w:p>
      <w:pPr>
        <w:spacing w:after="0" w:line="117" w:lineRule="exact"/>
        <w:rPr>
          <w:sz w:val="20"/>
          <w:szCs w:val="20"/>
          <w:color w:val="auto"/>
        </w:rPr>
      </w:pPr>
    </w:p>
    <w:p>
      <w:pPr>
        <w:ind w:left="620" w:right="200"/>
        <w:spacing w:after="0" w:line="264" w:lineRule="auto"/>
        <w:rPr>
          <w:sz w:val="20"/>
          <w:szCs w:val="20"/>
          <w:color w:val="auto"/>
        </w:rPr>
      </w:pPr>
      <w:r>
        <w:rPr>
          <w:rFonts w:ascii="Arial" w:cs="Arial" w:eastAsia="Arial" w:hAnsi="Arial"/>
          <w:sz w:val="18"/>
          <w:szCs w:val="18"/>
          <w:color w:val="auto"/>
        </w:rPr>
        <w:t>For a public entity, the amendments in this ASU are effective for annual reporting periods beginning after December 15, 2016, including interim periods within that reporting period. Early application is not permitted. The Group is in the process of evaluating the impact of adoption of this guidance on the Group’s consolidated financial statements.</w:t>
      </w:r>
    </w:p>
    <w:p>
      <w:pPr>
        <w:spacing w:after="0" w:line="73" w:lineRule="exact"/>
        <w:rPr>
          <w:sz w:val="20"/>
          <w:szCs w:val="20"/>
          <w:color w:val="auto"/>
        </w:rPr>
      </w:pPr>
    </w:p>
    <w:p>
      <w:pPr>
        <w:ind w:left="620" w:right="60"/>
        <w:spacing w:after="0" w:line="264" w:lineRule="auto"/>
        <w:rPr>
          <w:sz w:val="20"/>
          <w:szCs w:val="20"/>
          <w:color w:val="auto"/>
        </w:rPr>
      </w:pPr>
      <w:r>
        <w:rPr>
          <w:rFonts w:ascii="Arial" w:cs="Arial" w:eastAsia="Arial" w:hAnsi="Arial"/>
          <w:sz w:val="18"/>
          <w:szCs w:val="18"/>
          <w:color w:val="auto"/>
        </w:rPr>
        <w:t>In June 2014, the FASB issued a new pronouncement which requires that a performance target that affects vesting and that could be achieved after the requisite service period is treated as a performance condition. A reporting entity should apply existing guidance in Topic 718, Compensation-Stock Compensation, as it</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20"/>
          </w:cols>
          <w:pgMar w:left="240" w:top="460"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6080" w:hanging="452"/>
        <w:spacing w:after="0" w:line="495" w:lineRule="auto"/>
        <w:tabs>
          <w:tab w:leader="none" w:pos="449"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 continued </w:t>
      </w:r>
      <w:r>
        <w:rPr>
          <w:rFonts w:ascii="Arial" w:cs="Arial" w:eastAsia="Arial" w:hAnsi="Arial"/>
          <w:sz w:val="17"/>
          <w:szCs w:val="17"/>
          <w:b w:val="1"/>
          <w:bCs w:val="1"/>
          <w:i w:val="1"/>
          <w:iCs w:val="1"/>
          <w:color w:val="auto"/>
        </w:rPr>
        <w:t xml:space="preserve">Recent accounting pronouncements not yet adopted </w:t>
      </w:r>
      <w:r>
        <w:rPr>
          <w:rFonts w:ascii="Arial" w:cs="Arial" w:eastAsia="Arial" w:hAnsi="Arial"/>
          <w:sz w:val="17"/>
          <w:szCs w:val="17"/>
          <w:color w:val="auto"/>
        </w:rPr>
        <w:t>- continued</w:t>
      </w:r>
    </w:p>
    <w:p>
      <w:pPr>
        <w:spacing w:after="0" w:line="103" w:lineRule="exact"/>
        <w:rPr>
          <w:sz w:val="20"/>
          <w:szCs w:val="20"/>
          <w:color w:val="auto"/>
        </w:rPr>
      </w:pPr>
    </w:p>
    <w:p>
      <w:pPr>
        <w:ind w:left="620"/>
        <w:spacing w:after="0" w:line="270" w:lineRule="auto"/>
        <w:rPr>
          <w:sz w:val="20"/>
          <w:szCs w:val="20"/>
          <w:color w:val="auto"/>
        </w:rPr>
      </w:pPr>
      <w:r>
        <w:rPr>
          <w:rFonts w:ascii="Arial" w:cs="Arial" w:eastAsia="Arial" w:hAnsi="Arial"/>
          <w:sz w:val="17"/>
          <w:szCs w:val="17"/>
          <w:color w:val="auto"/>
        </w:rPr>
        <w:t>relates to awards with performance conditions that affect vesting to account for such awards.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The amendments in this ASU are effective for annual periods and interim periods within those annual periods beginning after December 15, 2015. Earlier adoption is permitted. The Group does not expect the adoption of this guidance will have a significant effect on the Group’s consolidated financial statements.</w:t>
      </w:r>
    </w:p>
    <w:p>
      <w:pPr>
        <w:spacing w:after="0" w:line="70" w:lineRule="exact"/>
        <w:rPr>
          <w:sz w:val="20"/>
          <w:szCs w:val="20"/>
          <w:color w:val="auto"/>
        </w:rPr>
      </w:pPr>
    </w:p>
    <w:p>
      <w:pPr>
        <w:ind w:left="620" w:right="40"/>
        <w:spacing w:after="0" w:line="255" w:lineRule="auto"/>
        <w:rPr>
          <w:sz w:val="20"/>
          <w:szCs w:val="20"/>
          <w:color w:val="auto"/>
        </w:rPr>
      </w:pPr>
      <w:r>
        <w:rPr>
          <w:rFonts w:ascii="Arial" w:cs="Arial" w:eastAsia="Arial" w:hAnsi="Arial"/>
          <w:sz w:val="18"/>
          <w:szCs w:val="18"/>
          <w:color w:val="auto"/>
        </w:rPr>
        <w:t>In August 2014, the FASB issued a new pronouncement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new standard is effective for fiscal years ending after December 15, 2016. The Group does not expect the adoption of this guidance will have a significant effect on the Group’s consolidated financial statements.</w:t>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3.</w:t>
            </w:r>
          </w:p>
        </w:tc>
        <w:tc>
          <w:tcPr>
            <w:tcW w:w="6700" w:type="dxa"/>
            <w:vAlign w:val="bottom"/>
            <w:gridSpan w:val="3"/>
          </w:tcPr>
          <w:p>
            <w:pPr>
              <w:ind w:left="60"/>
              <w:spacing w:after="0"/>
              <w:rPr>
                <w:sz w:val="20"/>
                <w:szCs w:val="20"/>
                <w:color w:val="auto"/>
              </w:rPr>
            </w:pPr>
            <w:r>
              <w:rPr>
                <w:rFonts w:ascii="Arial" w:cs="Arial" w:eastAsia="Arial" w:hAnsi="Arial"/>
                <w:sz w:val="18"/>
                <w:szCs w:val="18"/>
                <w:b w:val="1"/>
                <w:bCs w:val="1"/>
                <w:color w:val="auto"/>
              </w:rPr>
              <w:t>PREPAID EXPENSES AND OTHER CURRENT ASSETS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380" w:type="dxa"/>
            <w:vAlign w:val="bottom"/>
          </w:tcPr>
          <w:p>
            <w:pPr>
              <w:spacing w:after="0"/>
              <w:rPr>
                <w:sz w:val="24"/>
                <w:szCs w:val="24"/>
                <w:color w:val="auto"/>
              </w:rPr>
            </w:pPr>
          </w:p>
        </w:tc>
        <w:tc>
          <w:tcPr>
            <w:tcW w:w="6700" w:type="dxa"/>
            <w:vAlign w:val="bottom"/>
            <w:gridSpan w:val="3"/>
          </w:tcPr>
          <w:p>
            <w:pPr>
              <w:ind w:left="6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color w:val="auto"/>
              </w:rPr>
              <w:t>As of</w:t>
            </w:r>
          </w:p>
        </w:tc>
        <w:tc>
          <w:tcPr>
            <w:tcW w:w="18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As of</w:t>
            </w:r>
          </w:p>
        </w:tc>
      </w:tr>
      <w:tr>
        <w:trPr>
          <w:trHeight w:val="149"/>
        </w:trPr>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w w:val="97"/>
              </w:rPr>
              <w:t>September 30,</w:t>
            </w:r>
          </w:p>
        </w:tc>
      </w:tr>
      <w:tr>
        <w:trPr>
          <w:trHeight w:val="167"/>
        </w:trPr>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2014</w:t>
            </w:r>
          </w:p>
        </w:tc>
        <w:tc>
          <w:tcPr>
            <w:tcW w:w="80" w:type="dxa"/>
            <w:vAlign w:val="bottom"/>
            <w:tcBorders>
              <w:bottom w:val="single" w:sz="8" w:color="CCEEFF"/>
            </w:tcBorders>
          </w:tcPr>
          <w:p>
            <w:pPr>
              <w:spacing w:after="0"/>
              <w:rPr>
                <w:sz w:val="14"/>
                <w:szCs w:val="14"/>
                <w:color w:val="auto"/>
              </w:rPr>
            </w:pPr>
          </w:p>
        </w:tc>
      </w:tr>
      <w:tr>
        <w:trPr>
          <w:trHeight w:val="210"/>
        </w:trPr>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VAT input (note)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Deferred platform commission cost</w:t>
            </w:r>
          </w:p>
        </w:tc>
        <w:tc>
          <w:tcPr>
            <w:tcW w:w="18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r>
      <w:tr>
        <w:trPr>
          <w:trHeight w:val="216"/>
        </w:trPr>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IPO cost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1,081</w:t>
            </w:r>
          </w:p>
        </w:tc>
      </w:tr>
      <w:tr>
        <w:trPr>
          <w:trHeight w:val="216"/>
        </w:trPr>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Advance to game developers</w:t>
            </w:r>
          </w:p>
        </w:tc>
        <w:tc>
          <w:tcPr>
            <w:tcW w:w="18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833</w:t>
            </w:r>
          </w:p>
        </w:tc>
      </w:tr>
      <w:tr>
        <w:trPr>
          <w:trHeight w:val="216"/>
        </w:trPr>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to advertisement suppliers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w:t>
            </w:r>
          </w:p>
        </w:tc>
      </w:tr>
      <w:tr>
        <w:trPr>
          <w:trHeight w:val="216"/>
        </w:trPr>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Prepaid rental expenses</w:t>
            </w:r>
          </w:p>
        </w:tc>
        <w:tc>
          <w:tcPr>
            <w:tcW w:w="18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r>
      <w:tr>
        <w:trPr>
          <w:trHeight w:val="216"/>
        </w:trPr>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deposit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23"/>
        </w:trPr>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Others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6,652</w:t>
            </w:r>
          </w:p>
        </w:tc>
      </w:tr>
      <w:tr>
        <w:trPr>
          <w:trHeight w:val="20"/>
        </w:trPr>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96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8"/>
        </w:trPr>
        <w:tc>
          <w:tcPr>
            <w:tcW w:w="380" w:type="dxa"/>
            <w:vAlign w:val="bottom"/>
          </w:tcPr>
          <w:p>
            <w:pPr>
              <w:spacing w:after="0"/>
              <w:rPr>
                <w:sz w:val="20"/>
                <w:szCs w:val="20"/>
                <w:color w:val="auto"/>
              </w:rPr>
            </w:pPr>
            <w:r>
              <w:rPr>
                <w:rFonts w:ascii="Arial" w:cs="Arial" w:eastAsia="Arial" w:hAnsi="Arial"/>
                <w:sz w:val="14"/>
                <w:szCs w:val="14"/>
                <w:color w:val="auto"/>
              </w:rPr>
              <w:t>Note:</w:t>
            </w:r>
          </w:p>
        </w:tc>
        <w:tc>
          <w:tcPr>
            <w:tcW w:w="6700" w:type="dxa"/>
            <w:vAlign w:val="bottom"/>
            <w:gridSpan w:val="3"/>
          </w:tcPr>
          <w:p>
            <w:pPr>
              <w:ind w:left="160"/>
              <w:spacing w:after="0"/>
              <w:rPr>
                <w:sz w:val="20"/>
                <w:szCs w:val="20"/>
                <w:color w:val="auto"/>
              </w:rPr>
            </w:pPr>
            <w:r>
              <w:rPr>
                <w:rFonts w:ascii="Arial" w:cs="Arial" w:eastAsia="Arial" w:hAnsi="Arial"/>
                <w:sz w:val="14"/>
                <w:szCs w:val="14"/>
                <w:color w:val="auto"/>
              </w:rPr>
              <w:t>VAT input mainly occurred from the purchasing of property and equipment and advertising activities.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98"/>
        </w:trPr>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60" w:type="dxa"/>
            <w:vAlign w:val="bottom"/>
          </w:tcPr>
          <w:p>
            <w:pPr>
              <w:ind w:left="4040"/>
              <w:spacing w:after="0"/>
              <w:rPr>
                <w:sz w:val="20"/>
                <w:szCs w:val="20"/>
                <w:color w:val="auto"/>
              </w:rPr>
            </w:pPr>
            <w:r>
              <w:rPr>
                <w:rFonts w:ascii="Arial" w:cs="Arial" w:eastAsia="Arial" w:hAnsi="Arial"/>
                <w:sz w:val="18"/>
                <w:szCs w:val="18"/>
                <w:color w:val="auto"/>
              </w:rPr>
              <w:t>F-62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500" w:right="232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288" w:lineRule="exact"/>
        <w:rPr>
          <w:sz w:val="20"/>
          <w:szCs w:val="20"/>
          <w:color w:val="auto"/>
        </w:rPr>
      </w:pPr>
    </w:p>
    <w:p>
      <w:pPr>
        <w:ind w:left="620" w:hanging="441"/>
        <w:spacing w:after="0"/>
        <w:tabs>
          <w:tab w:leader="none" w:pos="62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COST METHOD INVESTMENTS</w:t>
      </w:r>
    </w:p>
    <w:p>
      <w:pPr>
        <w:spacing w:after="0" w:line="121" w:lineRule="exact"/>
        <w:rPr>
          <w:rFonts w:ascii="Arial" w:cs="Arial" w:eastAsia="Arial" w:hAnsi="Arial"/>
          <w:sz w:val="18"/>
          <w:szCs w:val="18"/>
          <w:b w:val="1"/>
          <w:bCs w:val="1"/>
          <w:color w:val="auto"/>
        </w:rPr>
      </w:pPr>
    </w:p>
    <w:p>
      <w:pPr>
        <w:ind w:left="6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April 27, 2013, the Group acquired 12% equity interest of Smartisan Technology Co., Ltd. for long-term investment at total cash consideration of $951 and accounted for the investment using cost method as the Company was unable to exercise significant influence on the investee.</w:t>
      </w:r>
    </w:p>
    <w:p>
      <w:pPr>
        <w:spacing w:after="0" w:line="15" w:lineRule="exact"/>
        <w:rPr>
          <w:rFonts w:ascii="Arial" w:cs="Arial" w:eastAsia="Arial" w:hAnsi="Arial"/>
          <w:sz w:val="18"/>
          <w:szCs w:val="18"/>
          <w:b w:val="1"/>
          <w:bCs w:val="1"/>
          <w:color w:val="auto"/>
        </w:rPr>
      </w:pPr>
    </w:p>
    <w:p>
      <w:pPr>
        <w:jc w:val="both"/>
        <w:ind w:left="62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July 25, 2014, the Group acquired 10% equity interest of Shanghai Shuanglang Technology Co., Ltd for long-term investment at total cash consideration of $326 and accounted for the investment using cost method as the Company was unable to exercise significant influence on the investee.</w:t>
      </w:r>
    </w:p>
    <w:p>
      <w:pPr>
        <w:spacing w:after="0" w:line="325" w:lineRule="exact"/>
        <w:rPr>
          <w:rFonts w:ascii="Arial" w:cs="Arial" w:eastAsia="Arial" w:hAnsi="Arial"/>
          <w:sz w:val="18"/>
          <w:szCs w:val="18"/>
          <w:b w:val="1"/>
          <w:bCs w:val="1"/>
          <w:color w:val="auto"/>
        </w:rPr>
      </w:pPr>
    </w:p>
    <w:p>
      <w:pPr>
        <w:ind w:left="620" w:hanging="441"/>
        <w:spacing w:after="0"/>
        <w:tabs>
          <w:tab w:leader="none" w:pos="62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As of</w:t>
            </w:r>
          </w:p>
        </w:tc>
        <w:tc>
          <w:tcPr>
            <w:tcW w:w="18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As of</w:t>
            </w:r>
          </w:p>
        </w:tc>
      </w:tr>
      <w:tr>
        <w:trPr>
          <w:trHeight w:val="149"/>
        </w:trPr>
        <w:tc>
          <w:tcPr>
            <w:tcW w:w="570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7"/>
              </w:rPr>
              <w:t>September 30,</w:t>
            </w:r>
          </w:p>
        </w:tc>
      </w:tr>
      <w:tr>
        <w:trPr>
          <w:trHeight w:val="167"/>
        </w:trPr>
        <w:tc>
          <w:tcPr>
            <w:tcW w:w="5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2013</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6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Leasehold improvement</w:t>
            </w:r>
          </w:p>
        </w:tc>
        <w:tc>
          <w:tcPr>
            <w:tcW w:w="16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2,576</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(2,809)</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Exchange difference</w:t>
            </w:r>
          </w:p>
        </w:tc>
        <w:tc>
          <w:tcPr>
            <w:tcW w:w="160" w:type="dxa"/>
            <w:vAlign w:val="bottom"/>
          </w:tcPr>
          <w:p>
            <w:pPr>
              <w:spacing w:after="0"/>
              <w:rPr>
                <w:sz w:val="18"/>
                <w:szCs w:val="18"/>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7"/>
        </w:trPr>
        <w:tc>
          <w:tcPr>
            <w:tcW w:w="5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3,363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8,934</w:t>
            </w: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60"/>
        <w:spacing w:after="0" w:line="277" w:lineRule="auto"/>
        <w:rPr>
          <w:sz w:val="20"/>
          <w:szCs w:val="20"/>
          <w:color w:val="auto"/>
        </w:rPr>
      </w:pPr>
      <w:r>
        <w:rPr>
          <w:rFonts w:ascii="Arial" w:cs="Arial" w:eastAsia="Arial" w:hAnsi="Arial"/>
          <w:sz w:val="18"/>
          <w:szCs w:val="18"/>
          <w:color w:val="auto"/>
        </w:rPr>
        <w:t>Depreciation expenses charged to the consolidated statements of operations for the nine-month periods ended September 30, 2013 and 2014 were $477 and $1,820, respectively.</w:t>
      </w:r>
    </w:p>
    <w:p>
      <w:pPr>
        <w:spacing w:after="0" w:line="315" w:lineRule="exact"/>
        <w:rPr>
          <w:sz w:val="20"/>
          <w:szCs w:val="20"/>
          <w:color w:val="auto"/>
        </w:rPr>
      </w:pPr>
    </w:p>
    <w:p>
      <w:pPr>
        <w:ind w:left="620" w:right="5280" w:hanging="441"/>
        <w:spacing w:after="0" w:line="488" w:lineRule="auto"/>
        <w:tabs>
          <w:tab w:leader="none" w:pos="61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consisted of the following:</w:t>
      </w:r>
    </w:p>
    <w:p>
      <w:pPr>
        <w:spacing w:after="0" w:line="22"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color w:val="auto"/>
              </w:rPr>
              <w:t>As of</w:t>
            </w:r>
          </w:p>
        </w:tc>
        <w:tc>
          <w:tcPr>
            <w:tcW w:w="1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As of</w:t>
            </w:r>
          </w:p>
        </w:tc>
      </w:tr>
      <w:tr>
        <w:trPr>
          <w:trHeight w:val="149"/>
        </w:trPr>
        <w:tc>
          <w:tcPr>
            <w:tcW w:w="3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w w:val="97"/>
              </w:rPr>
              <w:t>September 30,</w:t>
            </w:r>
          </w:p>
        </w:tc>
      </w:tr>
      <w:tr>
        <w:trPr>
          <w:trHeight w:val="167"/>
        </w:trPr>
        <w:tc>
          <w:tcPr>
            <w:tcW w:w="310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2014</w:t>
            </w:r>
          </w:p>
        </w:tc>
        <w:tc>
          <w:tcPr>
            <w:tcW w:w="80" w:type="dxa"/>
            <w:vAlign w:val="bottom"/>
            <w:tcBorders>
              <w:bottom w:val="single" w:sz="8" w:color="CCEEFF"/>
            </w:tcBorders>
          </w:tcPr>
          <w:p>
            <w:pPr>
              <w:spacing w:after="0"/>
              <w:rPr>
                <w:sz w:val="14"/>
                <w:szCs w:val="14"/>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for advertisement</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Accrued payroll and welfare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838</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1,327</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w:t>
            </w: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Accrued rental expense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508</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government subsidy</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Other tax payables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9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8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7"/>
        </w:trPr>
        <w:tc>
          <w:tcPr>
            <w:tcW w:w="3100" w:type="dxa"/>
            <w:vAlign w:val="bottom"/>
          </w:tcPr>
          <w:p>
            <w:pPr>
              <w:spacing w:after="0"/>
              <w:rPr>
                <w:sz w:val="24"/>
                <w:szCs w:val="24"/>
                <w:color w:val="auto"/>
              </w:rPr>
            </w:pPr>
          </w:p>
        </w:tc>
        <w:tc>
          <w:tcPr>
            <w:tcW w:w="2840" w:type="dxa"/>
            <w:vAlign w:val="bottom"/>
            <w:gridSpan w:val="2"/>
          </w:tcPr>
          <w:p>
            <w:pPr>
              <w:ind w:left="940"/>
              <w:spacing w:after="0"/>
              <w:rPr>
                <w:sz w:val="20"/>
                <w:szCs w:val="20"/>
                <w:color w:val="auto"/>
              </w:rPr>
            </w:pPr>
            <w:r>
              <w:rPr>
                <w:rFonts w:ascii="Arial" w:cs="Arial" w:eastAsia="Arial" w:hAnsi="Arial"/>
                <w:sz w:val="18"/>
                <w:szCs w:val="18"/>
                <w:color w:val="auto"/>
              </w:rPr>
              <w:t>F-63</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288" w:lineRule="exact"/>
        <w:rPr>
          <w:sz w:val="20"/>
          <w:szCs w:val="20"/>
          <w:color w:val="auto"/>
        </w:rPr>
      </w:pPr>
    </w:p>
    <w:p>
      <w:pPr>
        <w:ind w:left="620" w:hanging="441"/>
        <w:spacing w:after="0"/>
        <w:tabs>
          <w:tab w:leader="none" w:pos="62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Measured on recurring basis</w:t>
      </w:r>
    </w:p>
    <w:p>
      <w:pPr>
        <w:spacing w:after="0" w:line="117" w:lineRule="exact"/>
        <w:rPr>
          <w:rFonts w:ascii="Arial" w:cs="Arial" w:eastAsia="Arial" w:hAnsi="Arial"/>
          <w:sz w:val="18"/>
          <w:szCs w:val="18"/>
          <w:b w:val="1"/>
          <w:bCs w:val="1"/>
          <w:color w:val="auto"/>
        </w:rPr>
      </w:pPr>
    </w:p>
    <w:p>
      <w:pPr>
        <w:ind w:left="62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measured its financial assets and liabilities including the cash and cash equivalents at fair value on a recurring basis as of December 31, 2013 and September 30, 2014, respectively. Cash and cash equivalents are classified within Level 1 of the fair value hierarchy because they are valued based on the quoted market price in an active market.</w:t>
      </w:r>
    </w:p>
    <w:p>
      <w:pPr>
        <w:spacing w:after="0" w:line="73"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The Group did not have Level 2 and Level 3 investments as of December 31, 2013 and September 30, 2014, respectively.</w:t>
      </w:r>
    </w:p>
    <w:p>
      <w:pPr>
        <w:spacing w:after="0" w:line="369" w:lineRule="exact"/>
        <w:rPr>
          <w:rFonts w:ascii="Arial" w:cs="Arial" w:eastAsia="Arial" w:hAnsi="Arial"/>
          <w:sz w:val="18"/>
          <w:szCs w:val="18"/>
          <w:b w:val="1"/>
          <w:bCs w:val="1"/>
          <w:color w:val="auto"/>
        </w:rPr>
      </w:pPr>
    </w:p>
    <w:p>
      <w:pPr>
        <w:ind w:left="620" w:right="9240" w:hanging="441"/>
        <w:spacing w:after="0" w:line="378" w:lineRule="auto"/>
        <w:tabs>
          <w:tab w:leader="none" w:pos="61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Cayman</w:t>
      </w:r>
    </w:p>
    <w:p>
      <w:pPr>
        <w:ind w:left="62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July 2014, the Company was redomiciled in the Cayman Islands as an exempted company registered under the laws of the Cayman Islands. Under the current laws of the Cayman Islands, it is not subject to tax on either income or capital gain.</w:t>
      </w:r>
    </w:p>
    <w:p>
      <w:pPr>
        <w:spacing w:after="0" w:line="274"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w:t>
      </w:r>
    </w:p>
    <w:p>
      <w:pPr>
        <w:spacing w:after="0" w:line="121" w:lineRule="exact"/>
        <w:rPr>
          <w:rFonts w:ascii="Arial" w:cs="Arial" w:eastAsia="Arial" w:hAnsi="Arial"/>
          <w:sz w:val="18"/>
          <w:szCs w:val="18"/>
          <w:b w:val="1"/>
          <w:bCs w:val="1"/>
          <w:color w:val="auto"/>
        </w:rPr>
      </w:pPr>
    </w:p>
    <w:p>
      <w:pPr>
        <w:ind w:left="6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Momo Information Technologies Corp. (“Momo US”) is incorporated in the United States and is subject to state income tax and federal income tax at different tax rates, depending upon taxable income levels. Momo US did not have taxable income and no income tax expense was provided for the nine-month period ended September 30, 2014.</w:t>
      </w:r>
    </w:p>
    <w:p>
      <w:pPr>
        <w:spacing w:after="0" w:line="285"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PRC</w:t>
      </w:r>
    </w:p>
    <w:p>
      <w:pPr>
        <w:spacing w:after="0" w:line="121" w:lineRule="exact"/>
        <w:rPr>
          <w:rFonts w:ascii="Arial" w:cs="Arial" w:eastAsia="Arial" w:hAnsi="Arial"/>
          <w:sz w:val="18"/>
          <w:szCs w:val="18"/>
          <w:b w:val="1"/>
          <w:bCs w:val="1"/>
          <w:color w:val="auto"/>
        </w:rPr>
      </w:pPr>
    </w:p>
    <w:p>
      <w:pPr>
        <w:ind w:left="62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August 2014, Beijing Momo IT was qualified as a software enterprise. As such, Beijing Momo IT will be exempt from income taxes for two years beginning in their first profitable year followed by a tax rate of 12.5% for the succeeding three years.</w:t>
      </w:r>
    </w:p>
    <w:p>
      <w:pPr>
        <w:spacing w:after="0" w:line="17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The other entities incorporated in the PRC are subject to an enterprise income tax at a rate of 25%.</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240" w:top="460" w:right="4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8480" w:hanging="452"/>
        <w:spacing w:after="0" w:line="454" w:lineRule="auto"/>
        <w:tabs>
          <w:tab w:leader="none" w:pos="449"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 continued PRC </w:t>
      </w:r>
      <w:r>
        <w:rPr>
          <w:rFonts w:ascii="Arial" w:cs="Arial" w:eastAsia="Arial" w:hAnsi="Arial"/>
          <w:sz w:val="18"/>
          <w:szCs w:val="18"/>
          <w:color w:val="auto"/>
        </w:rPr>
        <w:t>- continued</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significant components of the Group’s deferred tax assets and liabilities are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1220"/>
              <w:spacing w:after="0"/>
              <w:rPr>
                <w:sz w:val="20"/>
                <w:szCs w:val="20"/>
                <w:color w:val="auto"/>
              </w:rPr>
            </w:pPr>
            <w:r>
              <w:rPr>
                <w:rFonts w:ascii="Arial" w:cs="Arial" w:eastAsia="Arial" w:hAnsi="Arial"/>
                <w:sz w:val="14"/>
                <w:szCs w:val="14"/>
                <w:color w:val="auto"/>
                <w:w w:val="93"/>
              </w:rPr>
              <w:t>As of</w:t>
            </w:r>
          </w:p>
        </w:tc>
        <w:tc>
          <w:tcPr>
            <w:tcW w:w="1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rPr>
              <w:t>As of</w:t>
            </w:r>
          </w:p>
        </w:tc>
      </w:tr>
      <w:tr>
        <w:trPr>
          <w:trHeight w:val="149"/>
        </w:trPr>
        <w:tc>
          <w:tcPr>
            <w:tcW w:w="5600" w:type="dxa"/>
            <w:vAlign w:val="bottom"/>
          </w:tcPr>
          <w:p>
            <w:pPr>
              <w:spacing w:after="0"/>
              <w:rPr>
                <w:sz w:val="12"/>
                <w:szCs w:val="12"/>
                <w:color w:val="auto"/>
              </w:rPr>
            </w:pPr>
          </w:p>
        </w:tc>
        <w:tc>
          <w:tcPr>
            <w:tcW w:w="1860" w:type="dxa"/>
            <w:vAlign w:val="bottom"/>
            <w:gridSpan w:val="3"/>
          </w:tcPr>
          <w:p>
            <w:pPr>
              <w:jc w:val="center"/>
              <w:ind w:right="1040"/>
              <w:spacing w:after="0" w:line="149" w:lineRule="exact"/>
              <w:rPr>
                <w:sz w:val="20"/>
                <w:szCs w:val="20"/>
                <w:color w:val="auto"/>
              </w:rPr>
            </w:pPr>
            <w:r>
              <w:rPr>
                <w:rFonts w:ascii="Arial" w:cs="Arial" w:eastAsia="Arial" w:hAnsi="Arial"/>
                <w:sz w:val="14"/>
                <w:szCs w:val="14"/>
                <w:color w:val="auto"/>
                <w:w w:val="93"/>
              </w:rPr>
              <w:t>December 31,</w:t>
            </w: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5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6"/>
              </w:rPr>
              <w:t>2013</w:t>
            </w:r>
          </w:p>
        </w:tc>
        <w:tc>
          <w:tcPr>
            <w:tcW w:w="1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6"/>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deferred tax assets: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Advertising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040"/>
              <w:spacing w:after="0"/>
              <w:rPr>
                <w:sz w:val="20"/>
                <w:szCs w:val="20"/>
                <w:color w:val="auto"/>
              </w:rPr>
            </w:pPr>
            <w:r>
              <w:rPr>
                <w:rFonts w:ascii="Arial" w:cs="Arial" w:eastAsia="Arial" w:hAnsi="Arial"/>
                <w:sz w:val="18"/>
                <w:szCs w:val="18"/>
                <w:color w:val="auto"/>
              </w:rPr>
              <w:t>145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payroll</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680" w:type="dxa"/>
            <w:vAlign w:val="bottom"/>
            <w:gridSpan w:val="2"/>
          </w:tcPr>
          <w:p>
            <w:pPr>
              <w:jc w:val="right"/>
              <w:ind w:right="104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valuation allowance</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Current deferred tax assets, net</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deferred tax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Net operating tax losses carry-forward</w:t>
            </w:r>
          </w:p>
        </w:tc>
        <w:tc>
          <w:tcPr>
            <w:tcW w:w="180" w:type="dxa"/>
            <w:vAlign w:val="bottom"/>
          </w:tcPr>
          <w:p>
            <w:pPr>
              <w:spacing w:after="0"/>
              <w:rPr>
                <w:sz w:val="18"/>
                <w:szCs w:val="18"/>
                <w:color w:val="auto"/>
              </w:rPr>
            </w:pPr>
          </w:p>
        </w:tc>
        <w:tc>
          <w:tcPr>
            <w:tcW w:w="1680" w:type="dxa"/>
            <w:vAlign w:val="bottom"/>
            <w:gridSpan w:val="2"/>
          </w:tcPr>
          <w:p>
            <w:pPr>
              <w:jc w:val="right"/>
              <w:ind w:right="1040"/>
              <w:spacing w:after="0"/>
              <w:rPr>
                <w:sz w:val="20"/>
                <w:szCs w:val="20"/>
                <w:color w:val="auto"/>
              </w:rPr>
            </w:pPr>
            <w:r>
              <w:rPr>
                <w:rFonts w:ascii="Arial" w:cs="Arial" w:eastAsia="Arial" w:hAnsi="Arial"/>
                <w:sz w:val="18"/>
                <w:szCs w:val="18"/>
                <w:color w:val="auto"/>
              </w:rPr>
              <w:t>2,905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7,386</w:t>
            </w: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valuation allowance</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(2,905)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(7,386)</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Non-current deferred tax assets, net</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spacing w:after="0" w:line="279" w:lineRule="auto"/>
        <w:rPr>
          <w:sz w:val="20"/>
          <w:szCs w:val="20"/>
          <w:color w:val="auto"/>
        </w:rPr>
      </w:pPr>
      <w:r>
        <w:rPr>
          <w:rFonts w:ascii="Arial" w:cs="Arial" w:eastAsia="Arial" w:hAnsi="Arial"/>
          <w:sz w:val="17"/>
          <w:szCs w:val="17"/>
          <w:color w:val="auto"/>
        </w:rPr>
        <w:t>The Group considers the following factors, among other matters, when determining whether some portion or all of the deferred tax assets will more likely than not be realized: the nature, frequency and severity of recent losses, forecasts of future profitability, the duration of statutory carry-forward periods, the Group’s experience with tax attributes expiring unused and tax planning alternatives. The Group’s ability to realize deferred tax assets depends on its ability to generate sufficient taxable income within the carry-forward periods provided for in the tax law.</w:t>
      </w:r>
    </w:p>
    <w:p>
      <w:pPr>
        <w:spacing w:after="0" w:line="63" w:lineRule="exact"/>
        <w:rPr>
          <w:sz w:val="20"/>
          <w:szCs w:val="20"/>
          <w:color w:val="auto"/>
        </w:rPr>
      </w:pPr>
    </w:p>
    <w:p>
      <w:pPr>
        <w:ind w:left="620" w:right="80"/>
        <w:spacing w:after="0" w:line="254" w:lineRule="auto"/>
        <w:rPr>
          <w:sz w:val="20"/>
          <w:szCs w:val="20"/>
          <w:color w:val="auto"/>
        </w:rPr>
      </w:pPr>
      <w:r>
        <w:rPr>
          <w:rFonts w:ascii="Arial" w:cs="Arial" w:eastAsia="Arial" w:hAnsi="Arial"/>
          <w:sz w:val="18"/>
          <w:szCs w:val="18"/>
          <w:color w:val="auto"/>
        </w:rPr>
        <w:t>As of September 30, 2014, the tax loss carry-forward for Beijing Momo IT, Beijing Momo and its subsidiary amounted to $28,369 and would expire on various dates between December 31, 2016 and December 31, 2019. As of September 30, 2014, the tax loss carry-forward for Momo HK amounted to $200 and would be carried forward indefinitely and set off against its future taxable profits. As of September 30, 2014, the tax loss carry-forward for Momo US amounted to $755 and would be carried forward for twenty years. The Group does not file combined or consolidated tax returns, therefore, losses from individual subsidiaries or the VIE may not be used to offset other subsidiaries’ or VIE’s earnings within the Group. Valuation allowance is considered on each individual subsidiary and legal entity basis. Valuation allowances have been established in respect of certain deferred tax assets as it is considered more likely than not that the relevant deferred tax assets will not be realized in the foreseeable future.</w:t>
      </w: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240" w:top="460" w:right="4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8480" w:hanging="452"/>
        <w:spacing w:after="0" w:line="454" w:lineRule="auto"/>
        <w:tabs>
          <w:tab w:leader="none" w:pos="449"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 continued PRC </w:t>
      </w:r>
      <w:r>
        <w:rPr>
          <w:rFonts w:ascii="Arial" w:cs="Arial" w:eastAsia="Arial" w:hAnsi="Arial"/>
          <w:sz w:val="18"/>
          <w:szCs w:val="18"/>
          <w:color w:val="auto"/>
        </w:rPr>
        <w:t>- continued</w:t>
      </w:r>
    </w:p>
    <w:p>
      <w:pPr>
        <w:spacing w:after="0" w:line="126" w:lineRule="exact"/>
        <w:rPr>
          <w:sz w:val="20"/>
          <w:szCs w:val="20"/>
          <w:color w:val="auto"/>
        </w:rPr>
      </w:pPr>
    </w:p>
    <w:p>
      <w:pPr>
        <w:ind w:left="620" w:right="260"/>
        <w:spacing w:after="0" w:line="277" w:lineRule="auto"/>
        <w:rPr>
          <w:sz w:val="20"/>
          <w:szCs w:val="20"/>
          <w:color w:val="auto"/>
        </w:rPr>
      </w:pPr>
      <w:r>
        <w:rPr>
          <w:rFonts w:ascii="Arial" w:cs="Arial" w:eastAsia="Arial" w:hAnsi="Arial"/>
          <w:sz w:val="18"/>
          <w:szCs w:val="18"/>
          <w:color w:val="auto"/>
        </w:rPr>
        <w:t>Reconciliation between the expense (benefit) of income taxes computed by applying the PRC tax rate to loss before income taxes and the actual provision for income taxes is as follows:</w:t>
      </w:r>
    </w:p>
    <w:p>
      <w:pPr>
        <w:spacing w:after="0" w:line="18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300" w:type="dxa"/>
            <w:vAlign w:val="bottom"/>
            <w:gridSpan w:val="4"/>
          </w:tcPr>
          <w:p>
            <w:pPr>
              <w:jc w:val="right"/>
              <w:ind w:right="460"/>
              <w:spacing w:after="0"/>
              <w:rPr>
                <w:sz w:val="20"/>
                <w:szCs w:val="20"/>
                <w:color w:val="auto"/>
              </w:rPr>
            </w:pPr>
            <w:r>
              <w:rPr>
                <w:rFonts w:ascii="Arial" w:cs="Arial" w:eastAsia="Arial" w:hAnsi="Arial"/>
                <w:sz w:val="14"/>
                <w:szCs w:val="14"/>
                <w:color w:val="auto"/>
              </w:rPr>
              <w:t>For the nine-month periods</w:t>
            </w:r>
          </w:p>
        </w:tc>
      </w:tr>
      <w:tr>
        <w:trPr>
          <w:trHeight w:val="167"/>
        </w:trPr>
        <w:tc>
          <w:tcPr>
            <w:tcW w:w="6100" w:type="dxa"/>
            <w:vAlign w:val="bottom"/>
          </w:tcPr>
          <w:p>
            <w:pPr>
              <w:spacing w:after="0"/>
              <w:rPr>
                <w:sz w:val="14"/>
                <w:szCs w:val="14"/>
                <w:color w:val="auto"/>
              </w:rPr>
            </w:pPr>
          </w:p>
        </w:tc>
        <w:tc>
          <w:tcPr>
            <w:tcW w:w="2300" w:type="dxa"/>
            <w:vAlign w:val="bottom"/>
            <w:gridSpan w:val="4"/>
          </w:tcPr>
          <w:p>
            <w:pPr>
              <w:jc w:val="right"/>
              <w:ind w:right="640"/>
              <w:spacing w:after="0"/>
              <w:rPr>
                <w:sz w:val="20"/>
                <w:szCs w:val="20"/>
                <w:color w:val="auto"/>
              </w:rPr>
            </w:pPr>
            <w:r>
              <w:rPr>
                <w:rFonts w:ascii="Arial" w:cs="Arial" w:eastAsia="Arial" w:hAnsi="Arial"/>
                <w:sz w:val="14"/>
                <w:szCs w:val="14"/>
                <w:color w:val="auto"/>
              </w:rPr>
              <w:t>ended September 30,</w:t>
            </w:r>
          </w:p>
        </w:tc>
      </w:tr>
      <w:tr>
        <w:trPr>
          <w:trHeight w:val="142"/>
        </w:trPr>
        <w:tc>
          <w:tcPr>
            <w:tcW w:w="6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2013</w:t>
            </w:r>
          </w:p>
        </w:tc>
        <w:tc>
          <w:tcPr>
            <w:tcW w:w="7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before provision for income tax</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(6,259)</w:t>
            </w: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(22,881)</w:t>
            </w:r>
          </w:p>
        </w:tc>
        <w:tc>
          <w:tcPr>
            <w:tcW w:w="200" w:type="dxa"/>
            <w:vAlign w:val="bottom"/>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PRC statutory tax rate</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7"/>
        </w:trPr>
        <w:tc>
          <w:tcPr>
            <w:tcW w:w="6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at statutory tax rate</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(1,565)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(5,720)</w:t>
            </w: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(203)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1,615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4,572</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Effect of income tax rate difference in other jurisdictions</w:t>
            </w: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7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1,086</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w:t>
            </w:r>
          </w:p>
        </w:tc>
        <w:tc>
          <w:tcPr>
            <w:tcW w:w="6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160"/>
        <w:spacing w:after="0" w:line="286" w:lineRule="auto"/>
        <w:rPr>
          <w:sz w:val="20"/>
          <w:szCs w:val="20"/>
          <w:color w:val="auto"/>
        </w:rPr>
      </w:pPr>
      <w:r>
        <w:rPr>
          <w:rFonts w:ascii="Arial" w:cs="Arial" w:eastAsia="Arial" w:hAnsi="Arial"/>
          <w:sz w:val="17"/>
          <w:szCs w:val="17"/>
          <w:color w:val="auto"/>
        </w:rPr>
        <w:t>The Group did not identify significant unrecognized tax benefits for the year ended December 31, 2013 and the nine-month period ended September 30, 2014. The Group did not incur any interest and penalties related to potential underpaid income tax expenses and also believed that uncertainty in income taxes did not have a significant impact on the unrecognized tax benefits within next twelve months.</w:t>
      </w:r>
    </w:p>
    <w:p>
      <w:pPr>
        <w:spacing w:after="0" w:line="310" w:lineRule="exact"/>
        <w:rPr>
          <w:sz w:val="20"/>
          <w:szCs w:val="20"/>
          <w:color w:val="auto"/>
        </w:rPr>
      </w:pPr>
    </w:p>
    <w:p>
      <w:pPr>
        <w:ind w:left="620" w:hanging="441"/>
        <w:spacing w:after="0"/>
        <w:tabs>
          <w:tab w:leader="none" w:pos="62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2013, there were 147,000,000 ordinary shares issued and outstanding of which 58,187,500 were non-vested restricted shares.</w:t>
      </w:r>
    </w:p>
    <w:p>
      <w:pPr>
        <w:spacing w:after="0" w:line="140" w:lineRule="exact"/>
        <w:rPr>
          <w:rFonts w:ascii="Arial" w:cs="Arial" w:eastAsia="Arial" w:hAnsi="Arial"/>
          <w:sz w:val="18"/>
          <w:szCs w:val="18"/>
          <w:b w:val="1"/>
          <w:bCs w:val="1"/>
          <w:color w:val="auto"/>
        </w:rPr>
      </w:pPr>
    </w:p>
    <w:p>
      <w:pPr>
        <w:ind w:left="620"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April 22, 2014, the Company was authorized to issue a maximum 1,000,000,000 shares, which was divided into 799,281,189 ordinary shares and 200,718,811 preferred shares in connection with the issuance of Series D convertible redeemable participating preferred shares.</w:t>
      </w:r>
    </w:p>
    <w:p>
      <w:pPr>
        <w:spacing w:after="0" w:line="15" w:lineRule="exact"/>
        <w:rPr>
          <w:rFonts w:ascii="Arial" w:cs="Arial" w:eastAsia="Arial" w:hAnsi="Arial"/>
          <w:sz w:val="18"/>
          <w:szCs w:val="18"/>
          <w:b w:val="1"/>
          <w:bCs w:val="1"/>
          <w:color w:val="auto"/>
        </w:rPr>
      </w:pPr>
    </w:p>
    <w:p>
      <w:pPr>
        <w:ind w:left="6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April 22, 2014, certain ordinary shareholders who are also the senior management of the Company donated an aggregate of 15,651,589 ordinary shares to the Company with no consideration. On the same date, the Group declared a special dividend to these shareholders at an aggregated amount of $64,494, among which $58,044 was paid in May 2014. The remaining $6,450 was recorded as amount due to related parties-current, please refer to Note 14 for disclosure of related party balances and transactions. The Company treated the whole transaction as a repurchase of ordinary shares of which the repurchase price is considerably lower than the fair value of ordinary share. All such shares were recorded as treasury stock.</w:t>
      </w:r>
    </w:p>
    <w:p>
      <w:pPr>
        <w:spacing w:after="0" w:line="85" w:lineRule="exact"/>
        <w:rPr>
          <w:rFonts w:ascii="Arial" w:cs="Arial" w:eastAsia="Arial" w:hAnsi="Arial"/>
          <w:sz w:val="18"/>
          <w:szCs w:val="18"/>
          <w:b w:val="1"/>
          <w:bCs w:val="1"/>
          <w:color w:val="auto"/>
        </w:rPr>
      </w:pPr>
    </w:p>
    <w:p>
      <w:pPr>
        <w:ind w:left="620" w:right="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of September 30, 2014, there were 131,348,411 ordinary shares issued and outstanding of which 65,674,205 were non-vested restricted shares. The holders of these nonvested restricted shares have a nonforfeitable right to receive dividends with all ordinary shares.</w:t>
      </w: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288" w:lineRule="exact"/>
        <w:rPr>
          <w:sz w:val="20"/>
          <w:szCs w:val="20"/>
          <w:color w:val="auto"/>
        </w:rPr>
      </w:pPr>
    </w:p>
    <w:p>
      <w:pPr>
        <w:ind w:left="620" w:hanging="441"/>
        <w:spacing w:after="0"/>
        <w:tabs>
          <w:tab w:leader="none" w:pos="62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PARTICIPATING PREFERRED SHARES</w:t>
      </w:r>
    </w:p>
    <w:p>
      <w:pPr>
        <w:spacing w:after="0" w:line="121" w:lineRule="exact"/>
        <w:rPr>
          <w:rFonts w:ascii="Arial" w:cs="Arial" w:eastAsia="Arial" w:hAnsi="Arial"/>
          <w:sz w:val="18"/>
          <w:szCs w:val="18"/>
          <w:b w:val="1"/>
          <w:bCs w:val="1"/>
          <w:color w:val="auto"/>
        </w:rPr>
      </w:pPr>
    </w:p>
    <w:p>
      <w:pPr>
        <w:ind w:left="62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April 22, 2014, the Group entered into the preferred share purchase agreements with a group of investors to issue an aggregate of 43,693,356 convertible redeemable participating preferred shares Series D (“Series D”) to a group of investors for a consideration of $211,750.</w:t>
      </w:r>
    </w:p>
    <w:p>
      <w:pPr>
        <w:spacing w:after="0" w:line="15" w:lineRule="exact"/>
        <w:rPr>
          <w:rFonts w:ascii="Arial" w:cs="Arial" w:eastAsia="Arial" w:hAnsi="Arial"/>
          <w:sz w:val="18"/>
          <w:szCs w:val="18"/>
          <w:b w:val="1"/>
          <w:bCs w:val="1"/>
          <w:color w:val="auto"/>
        </w:rPr>
      </w:pPr>
    </w:p>
    <w:p>
      <w:pPr>
        <w:ind w:left="62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April 22, 2014, the Group entered into the agreements to repurchase 7,298,857 shares of Series A-1 preferred shares from one shareholder for a consideration of $30,750, which was paid in May 2014. The repurchase amount of $30,293 is in excess of the carrying amount of such Series A-1 preferred shares as of April 22, 2014 and was considered as deemed dividend to Series A-1 preferred shareholder and recorded in the accumulated deficit. All the preferred shares repurchased were cancelled on the same date.</w:t>
      </w:r>
    </w:p>
    <w:p>
      <w:pPr>
        <w:spacing w:after="0" w:line="63" w:lineRule="exact"/>
        <w:rPr>
          <w:rFonts w:ascii="Arial" w:cs="Arial" w:eastAsia="Arial" w:hAnsi="Arial"/>
          <w:sz w:val="18"/>
          <w:szCs w:val="18"/>
          <w:b w:val="1"/>
          <w:bCs w:val="1"/>
          <w:color w:val="auto"/>
        </w:rPr>
      </w:pPr>
    </w:p>
    <w:p>
      <w:pPr>
        <w:ind w:lef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September 30, 2014, there were 31,181,820 Series A-1 and Series A-2, 19,797,980 Series A-3, 70,037,013 Series B, 36,008,642 Series C and 43,693,356 Series D convertible redeemable participating preferred shares outstanding, respectively.</w:t>
      </w:r>
    </w:p>
    <w:p>
      <w:pPr>
        <w:spacing w:after="0" w:line="183" w:lineRule="exact"/>
        <w:rPr>
          <w:rFonts w:ascii="Arial" w:cs="Arial" w:eastAsia="Arial" w:hAnsi="Arial"/>
          <w:sz w:val="18"/>
          <w:szCs w:val="18"/>
          <w:b w:val="1"/>
          <w:bCs w:val="1"/>
          <w:color w:val="auto"/>
        </w:rPr>
      </w:pPr>
    </w:p>
    <w:p>
      <w:pPr>
        <w:ind w:left="62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the series are collectively called the preferred shares. The preferred shares were accounted as mezzanine equity. Key terms of the preferred shares are summarized as follows:</w:t>
      </w:r>
    </w:p>
    <w:p>
      <w:pPr>
        <w:spacing w:after="0" w:line="278"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62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Shareholders of the preferred shares are entitled to the number of votes equal to the number of ordinary shares into which such preferred shares could be converted at the record date.</w:t>
      </w:r>
    </w:p>
    <w:p>
      <w:pPr>
        <w:spacing w:after="0" w:line="278"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Dividends</w:t>
      </w:r>
    </w:p>
    <w:p>
      <w:pPr>
        <w:spacing w:after="0" w:line="117" w:lineRule="exact"/>
        <w:rPr>
          <w:rFonts w:ascii="Arial" w:cs="Arial" w:eastAsia="Arial" w:hAnsi="Arial"/>
          <w:sz w:val="18"/>
          <w:szCs w:val="18"/>
          <w:b w:val="1"/>
          <w:bCs w:val="1"/>
          <w:color w:val="auto"/>
        </w:rPr>
      </w:pPr>
    </w:p>
    <w:p>
      <w:pPr>
        <w:ind w:left="62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Whenever a dividend is declared by the board of directors of the Company, the preferred shares holders shall receive, in preference to any dividend on any ordinary shares a cumulative dividend in an amount equal to 8% annually of the Original Issue Price, which was defined as $0.04714, $0.13469, $0.20204, $0.327, $1.2497 and $4.84627 per share for Series A-1, A-2, A-3, B, C and D preferred shares, respectively, as adjusted for stock splits, stock dividends, etc., and shall also participate on an as converted basis with respect to any dividends payable to the ordinary shares. The sequence of dividend participating right of all series of preferred shares was as follows:</w:t>
      </w:r>
    </w:p>
    <w:p>
      <w:pPr>
        <w:spacing w:after="0" w:line="77" w:lineRule="exact"/>
        <w:rPr>
          <w:rFonts w:ascii="Arial" w:cs="Arial" w:eastAsia="Arial" w:hAnsi="Arial"/>
          <w:sz w:val="18"/>
          <w:szCs w:val="18"/>
          <w:b w:val="1"/>
          <w:bCs w:val="1"/>
          <w:color w:val="auto"/>
        </w:rPr>
      </w:pPr>
    </w:p>
    <w:p>
      <w:pPr>
        <w:ind w:left="1040" w:hanging="429"/>
        <w:spacing w:after="0"/>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Series D</w:t>
      </w:r>
    </w:p>
    <w:p>
      <w:pPr>
        <w:spacing w:after="0" w:line="130" w:lineRule="exact"/>
        <w:rPr>
          <w:rFonts w:ascii="Arial" w:cs="Arial" w:eastAsia="Arial" w:hAnsi="Arial"/>
          <w:sz w:val="18"/>
          <w:szCs w:val="18"/>
          <w:color w:val="auto"/>
        </w:rPr>
      </w:pPr>
    </w:p>
    <w:p>
      <w:pPr>
        <w:ind w:left="1040" w:hanging="429"/>
        <w:spacing w:after="0"/>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Series C</w:t>
      </w:r>
    </w:p>
    <w:p>
      <w:pPr>
        <w:spacing w:after="0" w:line="130" w:lineRule="exact"/>
        <w:rPr>
          <w:rFonts w:ascii="Arial" w:cs="Arial" w:eastAsia="Arial" w:hAnsi="Arial"/>
          <w:sz w:val="18"/>
          <w:szCs w:val="18"/>
          <w:color w:val="auto"/>
        </w:rPr>
      </w:pPr>
    </w:p>
    <w:p>
      <w:pPr>
        <w:ind w:left="1040" w:hanging="429"/>
        <w:spacing w:after="0"/>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Series B</w:t>
      </w:r>
    </w:p>
    <w:p>
      <w:pPr>
        <w:spacing w:after="0" w:line="130" w:lineRule="exact"/>
        <w:rPr>
          <w:rFonts w:ascii="Arial" w:cs="Arial" w:eastAsia="Arial" w:hAnsi="Arial"/>
          <w:sz w:val="18"/>
          <w:szCs w:val="18"/>
          <w:color w:val="auto"/>
        </w:rPr>
      </w:pPr>
    </w:p>
    <w:p>
      <w:pPr>
        <w:ind w:left="1040" w:hanging="429"/>
        <w:spacing w:after="0"/>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Series A-3</w:t>
      </w:r>
    </w:p>
    <w:p>
      <w:pPr>
        <w:spacing w:after="0" w:line="130" w:lineRule="exact"/>
        <w:rPr>
          <w:rFonts w:ascii="Arial" w:cs="Arial" w:eastAsia="Arial" w:hAnsi="Arial"/>
          <w:sz w:val="18"/>
          <w:szCs w:val="18"/>
          <w:color w:val="auto"/>
        </w:rPr>
      </w:pPr>
    </w:p>
    <w:p>
      <w:pPr>
        <w:ind w:left="1040" w:hanging="429"/>
        <w:spacing w:after="0"/>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Series A-1, A-2</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the event of any liquidation, dissolution or winding up of the Company, either voluntary or involuntary, distributions to the shareholders of the</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Company shall be made in the following manners:</w:t>
      </w:r>
    </w:p>
    <w:p>
      <w:pPr>
        <w:spacing w:after="0" w:line="116" w:lineRule="exact"/>
        <w:rPr>
          <w:sz w:val="20"/>
          <w:szCs w:val="20"/>
          <w:color w:val="auto"/>
        </w:rPr>
      </w:pPr>
    </w:p>
    <w:p>
      <w:pPr>
        <w:jc w:val="both"/>
        <w:ind w:left="1040" w:right="160" w:hanging="429"/>
        <w:spacing w:after="0" w:line="286" w:lineRule="auto"/>
        <w:tabs>
          <w:tab w:leader="none" w:pos="10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Before any distribution or payment shall be made to the holders of any ordinary shares, Series A preferred shares, Series B preferred shares or Series C preferred shares, each holder of Series D preferred shares shall be entitled to receive an amount equal to one hundred and thirty percent (130%) of the Original Issue Price of Series D preferred shares (adjusted for any share splits, share</w:t>
      </w: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240" w:top="459" w:right="4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3860" w:hanging="452"/>
        <w:spacing w:after="0" w:line="454" w:lineRule="auto"/>
        <w:tabs>
          <w:tab w:leader="none" w:pos="449"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REDEEMABLE PARTICIPATING PREFERRED SHARES - continued </w:t>
      </w:r>
      <w:r>
        <w:rPr>
          <w:rFonts w:ascii="Arial" w:cs="Arial" w:eastAsia="Arial" w:hAnsi="Arial"/>
          <w:sz w:val="18"/>
          <w:szCs w:val="18"/>
          <w:i w:val="1"/>
          <w:iCs w:val="1"/>
          <w:color w:val="auto"/>
        </w:rPr>
        <w:t xml:space="preserve">Liquidation preference </w:t>
      </w:r>
      <w:r>
        <w:rPr>
          <w:rFonts w:ascii="Arial" w:cs="Arial" w:eastAsia="Arial" w:hAnsi="Arial"/>
          <w:sz w:val="18"/>
          <w:szCs w:val="18"/>
          <w:color w:val="auto"/>
        </w:rPr>
        <w:t>- continued</w:t>
      </w:r>
    </w:p>
    <w:p>
      <w:pPr>
        <w:spacing w:after="0" w:line="126" w:lineRule="exact"/>
        <w:rPr>
          <w:sz w:val="20"/>
          <w:szCs w:val="20"/>
          <w:color w:val="auto"/>
        </w:rPr>
      </w:pPr>
    </w:p>
    <w:p>
      <w:pPr>
        <w:jc w:val="both"/>
        <w:ind w:left="1060" w:right="80"/>
        <w:spacing w:after="0" w:line="264" w:lineRule="auto"/>
        <w:rPr>
          <w:sz w:val="20"/>
          <w:szCs w:val="20"/>
          <w:color w:val="auto"/>
        </w:rPr>
      </w:pPr>
      <w:r>
        <w:rPr>
          <w:rFonts w:ascii="Arial" w:cs="Arial" w:eastAsia="Arial" w:hAnsi="Arial"/>
          <w:sz w:val="18"/>
          <w:szCs w:val="18"/>
          <w:color w:val="auto"/>
        </w:rPr>
        <w:t>dividends, combinations, recapitalizations and similar transactions), plus all dividends accrued and unpaid with respect thereto (as adjusted for any share splits, share dividends, combinations, recapitalizations and similar transactions) per Series D preferred share then held by such holder.</w:t>
      </w:r>
    </w:p>
    <w:p>
      <w:pPr>
        <w:spacing w:after="0" w:line="87" w:lineRule="exact"/>
        <w:rPr>
          <w:sz w:val="20"/>
          <w:szCs w:val="20"/>
          <w:color w:val="auto"/>
        </w:rPr>
      </w:pPr>
    </w:p>
    <w:p>
      <w:pPr>
        <w:ind w:left="1040" w:right="40" w:hanging="429"/>
        <w:spacing w:after="0" w:line="255" w:lineRule="auto"/>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After distribution or payment full of the amount distributable or payable pursuant to (i) and before any distribution or payment shall be made to the holders of any ordinary shares, Series A preferred shares and Series B preferred shares, each holder of Series C preferred shares shall be entitled to receive an amount equal to one hundred and thirty percent (130%) of the Original Issue Price of Series C preferred shares (adjusted for any share splits, share dividends, combinations, recapitalizations and similar transactions), plus all dividends accrued and unpaid with respect thereto (as adjusted for any share splits, share dividends, combinations, recapitalizations and similar transactions) per Series C preferred share then held by such holder.</w:t>
      </w:r>
    </w:p>
    <w:p>
      <w:pPr>
        <w:spacing w:after="0" w:line="98" w:lineRule="exact"/>
        <w:rPr>
          <w:rFonts w:ascii="Arial" w:cs="Arial" w:eastAsia="Arial" w:hAnsi="Arial"/>
          <w:sz w:val="18"/>
          <w:szCs w:val="18"/>
          <w:color w:val="auto"/>
        </w:rPr>
      </w:pPr>
    </w:p>
    <w:p>
      <w:pPr>
        <w:ind w:left="1040" w:hanging="429"/>
        <w:spacing w:after="0" w:line="297" w:lineRule="auto"/>
        <w:tabs>
          <w:tab w:leader="none" w:pos="10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After distribution or payment in full of the amount distributable or payable pursuant to (i) and (ii) and before any distribution or payment shall be made to the holders of any ordinary shares, Series A preferred shares, each holder of Series B preferred shares shall be entitled to receive an amount equal to one hundred percent (100%) of the Original Issue Price of Series B (adjusted for any share splits, share dividends, combinations, recapitalizations and similar transactions), plus all dividends accrued and unpaid with respect thereto (as adjusted for any share splits, share dividends, combinations, recapitalizations and similar transactions) per Series B preferred share then held by such holder.</w:t>
      </w:r>
    </w:p>
    <w:p>
      <w:pPr>
        <w:spacing w:after="0" w:line="63" w:lineRule="exact"/>
        <w:rPr>
          <w:rFonts w:ascii="Arial" w:cs="Arial" w:eastAsia="Arial" w:hAnsi="Arial"/>
          <w:sz w:val="16"/>
          <w:szCs w:val="16"/>
          <w:color w:val="auto"/>
        </w:rPr>
      </w:pPr>
    </w:p>
    <w:p>
      <w:pPr>
        <w:ind w:left="1040" w:right="20" w:hanging="429"/>
        <w:spacing w:after="0" w:line="255" w:lineRule="auto"/>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After distribution or payment in full of the amount distributable or payable pursuant to (i), (ii) and (iii) and before any distribution or payment shall be made to the holders of any ordinary shares, Series A-1 preferred shares or Series A-2 preferred shares, each holder of Series A-3 preferred shares shall be entitled to receive an amount equal to one hundred percent (100%) of the Original Issue Price of Series A-3 (adjusted for any share splits, share dividends, combinations, recapitalizations and similar transactions), plus all dividends accrued and unpaid with respect thereto (as adjusted for any share splits, share dividends, combinations, recapitalizations and similar transactions) per Series A-3 preferred share then held by such holder.</w:t>
      </w:r>
    </w:p>
    <w:p>
      <w:pPr>
        <w:spacing w:after="0" w:line="98" w:lineRule="exact"/>
        <w:rPr>
          <w:rFonts w:ascii="Arial" w:cs="Arial" w:eastAsia="Arial" w:hAnsi="Arial"/>
          <w:sz w:val="18"/>
          <w:szCs w:val="18"/>
          <w:color w:val="auto"/>
        </w:rPr>
      </w:pPr>
    </w:p>
    <w:p>
      <w:pPr>
        <w:ind w:left="1040" w:right="100" w:hanging="429"/>
        <w:spacing w:after="0" w:line="272" w:lineRule="auto"/>
        <w:tabs>
          <w:tab w:leader="none" w:pos="10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After distribution or payment in full of the amount distributable or payable pursuant to (i), (ii), (iii) and (iv) and before any distribution or payment shall be made to the holders of any ordinary shares, each holder of Series A-1 preferred shares and each holder of Series A-2 preferred shares shall be entitled to receive on a pari passu basis an amount equal to one hundred fifty percent (150%) of the Original Issue Price of Series A-1 or the Original Issue Price of Series A-2 (as the case may be) (adjusted for any share splits, share dividends, combinations, recapitalizations and similar transactions), plus all dividends accrued and unpaid with respect thereto (as adjusted for any share splits, share dividends, combinations, recapitalizations and similar transactions) per Series A-1 preferred share or Series A-2 preferred share, as the case may be, then held by such holder.</w:t>
      </w:r>
    </w:p>
    <w:p>
      <w:pPr>
        <w:spacing w:after="0" w:line="83" w:lineRule="exact"/>
        <w:rPr>
          <w:rFonts w:ascii="Arial" w:cs="Arial" w:eastAsia="Arial" w:hAnsi="Arial"/>
          <w:sz w:val="17"/>
          <w:szCs w:val="17"/>
          <w:color w:val="auto"/>
        </w:rPr>
      </w:pPr>
    </w:p>
    <w:p>
      <w:pPr>
        <w:ind w:left="1040" w:right="160" w:hanging="429"/>
        <w:spacing w:after="0" w:line="259" w:lineRule="auto"/>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After distribution or payment in full of the amount distributable or payable on the preferred shares pursuant to (i), (ii), (iii), (iv) and (v), the remaining assets of the Company available for distribution to shareholders shall first be used to pay any accrued but unpaid dividends on other shares and then be distributed ratably among the holders of outstanding ordinary shares and holders of preferred shares on an as-converted basis.</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240" w:top="460" w:right="4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80" w:right="234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3800" w:hanging="452"/>
        <w:spacing w:after="0" w:line="454" w:lineRule="auto"/>
        <w:tabs>
          <w:tab w:leader="none" w:pos="449"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REDEEMABLE PARTICIPATING PREFERRED SHARES - continued </w:t>
      </w:r>
      <w:r>
        <w:rPr>
          <w:rFonts w:ascii="Arial" w:cs="Arial" w:eastAsia="Arial" w:hAnsi="Arial"/>
          <w:sz w:val="18"/>
          <w:szCs w:val="18"/>
          <w:i w:val="1"/>
          <w:iCs w:val="1"/>
          <w:color w:val="auto"/>
        </w:rPr>
        <w:t xml:space="preserve">Liquidation preference </w:t>
      </w:r>
      <w:r>
        <w:rPr>
          <w:rFonts w:ascii="Arial" w:cs="Arial" w:eastAsia="Arial" w:hAnsi="Arial"/>
          <w:sz w:val="18"/>
          <w:szCs w:val="18"/>
          <w:color w:val="auto"/>
        </w:rPr>
        <w:t>- continued</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of September 30, 2014, the liquidation value of the preferred shares was $380,571.</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jc w:val="both"/>
        <w:ind w:left="620" w:right="20"/>
        <w:spacing w:after="0" w:line="312" w:lineRule="auto"/>
        <w:rPr>
          <w:sz w:val="20"/>
          <w:szCs w:val="20"/>
          <w:color w:val="auto"/>
        </w:rPr>
      </w:pPr>
      <w:r>
        <w:rPr>
          <w:rFonts w:ascii="Arial" w:cs="Arial" w:eastAsia="Arial" w:hAnsi="Arial"/>
          <w:sz w:val="16"/>
          <w:szCs w:val="16"/>
          <w:color w:val="auto"/>
        </w:rPr>
        <w:t>At any time after (i) the fourth (4) anniversary of the closing of the Series D preferred share issuance, each holder of the then outstanding Series D preferred shares, or (ii) October 8, 2017, each holder of the then outstanding Series C preferred shares, or (iii) December 31, 2016, each holder of the then outstanding Series A preferred shares and Series B preferred shares, may require that the Company redeem all of its preferred shares.</w:t>
      </w:r>
    </w:p>
    <w:p>
      <w:pPr>
        <w:spacing w:after="0" w:line="39" w:lineRule="exact"/>
        <w:rPr>
          <w:sz w:val="20"/>
          <w:szCs w:val="20"/>
          <w:color w:val="auto"/>
        </w:rPr>
      </w:pPr>
    </w:p>
    <w:p>
      <w:pPr>
        <w:ind w:left="620" w:right="120"/>
        <w:spacing w:after="0" w:line="259" w:lineRule="auto"/>
        <w:rPr>
          <w:sz w:val="20"/>
          <w:szCs w:val="20"/>
          <w:color w:val="auto"/>
        </w:rPr>
      </w:pPr>
      <w:r>
        <w:rPr>
          <w:rFonts w:ascii="Arial" w:cs="Arial" w:eastAsia="Arial" w:hAnsi="Arial"/>
          <w:sz w:val="18"/>
          <w:szCs w:val="18"/>
          <w:color w:val="auto"/>
        </w:rPr>
        <w:t>The redemption price for each Series A-1 and Series A-2 preferred share shall be equal to a price per preferred share which is one hundred and fifty percent (150%) of the applicable Initial Purchase Price (equal to the applicable Original Issue Price), plus all declared or accrued but unpaid dividends thereon up until the date of redemption (adjusted for any share splits, share dividends, combinations, recapitalizations or similar transactions).</w:t>
      </w:r>
    </w:p>
    <w:p>
      <w:pPr>
        <w:spacing w:after="0" w:line="79" w:lineRule="exact"/>
        <w:rPr>
          <w:sz w:val="20"/>
          <w:szCs w:val="20"/>
          <w:color w:val="auto"/>
        </w:rPr>
      </w:pPr>
    </w:p>
    <w:p>
      <w:pPr>
        <w:jc w:val="both"/>
        <w:ind w:left="620" w:right="40"/>
        <w:spacing w:after="0" w:line="259" w:lineRule="auto"/>
        <w:rPr>
          <w:sz w:val="20"/>
          <w:szCs w:val="20"/>
          <w:color w:val="auto"/>
        </w:rPr>
      </w:pPr>
      <w:r>
        <w:rPr>
          <w:rFonts w:ascii="Arial" w:cs="Arial" w:eastAsia="Arial" w:hAnsi="Arial"/>
          <w:sz w:val="18"/>
          <w:szCs w:val="18"/>
          <w:color w:val="auto"/>
        </w:rPr>
        <w:t>The redemption price for Series A-3, Series B, Series C and Series D preferred shares shall be equal to a price per share which is one hundred and twenty-five percent (125%) of the applicable Initial Purchase Price (equal to the applicable Original Issue Price), plus all declared or accrued but unpaid dividends thereon up until the date of redemption (adjusted for any share splits, share dividends, combinations, recapitalizations or similar transactions).</w:t>
      </w:r>
    </w:p>
    <w:p>
      <w:pPr>
        <w:spacing w:after="0" w:line="79" w:lineRule="exact"/>
        <w:rPr>
          <w:sz w:val="20"/>
          <w:szCs w:val="20"/>
          <w:color w:val="auto"/>
        </w:rPr>
      </w:pPr>
    </w:p>
    <w:p>
      <w:pPr>
        <w:ind w:left="620"/>
        <w:spacing w:after="0" w:line="342" w:lineRule="auto"/>
        <w:rPr>
          <w:sz w:val="20"/>
          <w:szCs w:val="20"/>
          <w:color w:val="auto"/>
        </w:rPr>
      </w:pPr>
      <w:r>
        <w:rPr>
          <w:rFonts w:ascii="Arial" w:cs="Arial" w:eastAsia="Arial" w:hAnsi="Arial"/>
          <w:sz w:val="16"/>
          <w:szCs w:val="16"/>
          <w:color w:val="auto"/>
        </w:rPr>
        <w:t>The Group assesses the probability of redemption and accrues proper accretion over the period from the date of issuance to the earliest redemption date of Series A-1, Series A-2, Series A-3, Series B, Series C and Series D preferred shares using the effective interest rate method.</w:t>
      </w:r>
    </w:p>
    <w:p>
      <w:pPr>
        <w:spacing w:after="0" w:line="16" w:lineRule="exact"/>
        <w:rPr>
          <w:sz w:val="20"/>
          <w:szCs w:val="20"/>
          <w:color w:val="auto"/>
        </w:rPr>
      </w:pPr>
    </w:p>
    <w:p>
      <w:pPr>
        <w:ind w:left="620" w:right="660"/>
        <w:spacing w:after="0" w:line="277" w:lineRule="auto"/>
        <w:rPr>
          <w:sz w:val="20"/>
          <w:szCs w:val="20"/>
          <w:color w:val="auto"/>
        </w:rPr>
      </w:pPr>
      <w:r>
        <w:rPr>
          <w:rFonts w:ascii="Arial" w:cs="Arial" w:eastAsia="Arial" w:hAnsi="Arial"/>
          <w:sz w:val="18"/>
          <w:szCs w:val="18"/>
          <w:color w:val="auto"/>
        </w:rPr>
        <w:t>The Group recognized $5,640 and $49,673 as deemed dividend on Series A, Series B, Series C and Series D preferred shares accretion of redemption premium for the nine-month periods ended September 30, 2013 and 2014, respectively.</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620" w:right="240"/>
        <w:spacing w:after="0" w:line="342" w:lineRule="auto"/>
        <w:rPr>
          <w:sz w:val="20"/>
          <w:szCs w:val="20"/>
          <w:color w:val="auto"/>
        </w:rPr>
      </w:pPr>
      <w:r>
        <w:rPr>
          <w:rFonts w:ascii="Arial" w:cs="Arial" w:eastAsia="Arial" w:hAnsi="Arial"/>
          <w:sz w:val="16"/>
          <w:szCs w:val="16"/>
          <w:color w:val="auto"/>
        </w:rPr>
        <w:t>Each preferred share shall be convertible, at the option of the holder thereof, at any time after the original date of issuance, into such number of fully paid and nonassessable ordinary shares as determined by dividing the applicable Original Issue Price by then-effective conversion price.</w:t>
      </w:r>
    </w:p>
    <w:p>
      <w:pPr>
        <w:spacing w:after="0" w:line="16" w:lineRule="exact"/>
        <w:rPr>
          <w:sz w:val="20"/>
          <w:szCs w:val="20"/>
          <w:color w:val="auto"/>
        </w:rPr>
      </w:pPr>
    </w:p>
    <w:p>
      <w:pPr>
        <w:ind w:left="620" w:right="40"/>
        <w:spacing w:after="0" w:line="259" w:lineRule="auto"/>
        <w:rPr>
          <w:sz w:val="20"/>
          <w:szCs w:val="20"/>
          <w:color w:val="auto"/>
        </w:rPr>
      </w:pPr>
      <w:r>
        <w:rPr>
          <w:rFonts w:ascii="Arial" w:cs="Arial" w:eastAsia="Arial" w:hAnsi="Arial"/>
          <w:sz w:val="18"/>
          <w:szCs w:val="18"/>
          <w:color w:val="auto"/>
        </w:rPr>
        <w:t>The initial conversion ratio was one for one. The conversion price has a standard anti-dilution adjustment term for items such as stock splits and recapitalization. It also has a down-round provision, under which when the Company issues any additional shares at a price per share that is lower than the conversion price per share then in effect, the conversion price per share is adjusted down. There have been no such adjustments to the conversion price.</w:t>
      </w:r>
    </w:p>
    <w:p>
      <w:pPr>
        <w:spacing w:after="0" w:line="79" w:lineRule="exact"/>
        <w:rPr>
          <w:sz w:val="20"/>
          <w:szCs w:val="20"/>
          <w:color w:val="auto"/>
        </w:rPr>
      </w:pPr>
    </w:p>
    <w:p>
      <w:pPr>
        <w:ind w:left="620" w:right="80"/>
        <w:spacing w:after="0" w:line="277" w:lineRule="auto"/>
        <w:rPr>
          <w:sz w:val="20"/>
          <w:szCs w:val="20"/>
          <w:color w:val="auto"/>
        </w:rPr>
      </w:pPr>
      <w:r>
        <w:rPr>
          <w:rFonts w:ascii="Arial" w:cs="Arial" w:eastAsia="Arial" w:hAnsi="Arial"/>
          <w:sz w:val="18"/>
          <w:szCs w:val="18"/>
          <w:color w:val="auto"/>
        </w:rPr>
        <w:t>Each preferred share would automatically be converted into ordinary shares at the then effective conversion price, upon the closing of a Qualified IPO.</w:t>
      </w:r>
    </w:p>
    <w:p>
      <w:pPr>
        <w:spacing w:after="0" w:line="62" w:lineRule="exact"/>
        <w:rPr>
          <w:sz w:val="20"/>
          <w:szCs w:val="20"/>
          <w:color w:val="auto"/>
        </w:rPr>
      </w:pPr>
    </w:p>
    <w:p>
      <w:pPr>
        <w:ind w:left="620" w:right="500"/>
        <w:spacing w:after="0" w:line="277" w:lineRule="auto"/>
        <w:rPr>
          <w:sz w:val="20"/>
          <w:szCs w:val="20"/>
          <w:color w:val="auto"/>
        </w:rPr>
      </w:pPr>
      <w:r>
        <w:rPr>
          <w:rFonts w:ascii="Arial" w:cs="Arial" w:eastAsia="Arial" w:hAnsi="Arial"/>
          <w:sz w:val="18"/>
          <w:szCs w:val="18"/>
          <w:color w:val="auto"/>
        </w:rPr>
        <w:t>“Qualified IPO” means a firm commitment underwritten registered public offering by the Company of its ordinary Shares on the NASDAQ National Market System in the United States or Hong Kong or any other</w:t>
      </w:r>
    </w:p>
    <w:p>
      <w:pPr>
        <w:spacing w:after="0" w:line="2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80"/>
          </w:cols>
          <w:pgMar w:left="240" w:top="460"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3860" w:hanging="452"/>
        <w:spacing w:after="0" w:line="454" w:lineRule="auto"/>
        <w:tabs>
          <w:tab w:leader="none" w:pos="449"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REDEEMABLE PARTICIPATING PREFERRED SHARES - continued </w:t>
      </w:r>
      <w:r>
        <w:rPr>
          <w:rFonts w:ascii="Arial" w:cs="Arial" w:eastAsia="Arial" w:hAnsi="Arial"/>
          <w:sz w:val="18"/>
          <w:szCs w:val="18"/>
          <w:i w:val="1"/>
          <w:iCs w:val="1"/>
          <w:color w:val="auto"/>
        </w:rPr>
        <w:t xml:space="preserve">Conversion </w:t>
      </w:r>
      <w:r>
        <w:rPr>
          <w:rFonts w:ascii="Arial" w:cs="Arial" w:eastAsia="Arial" w:hAnsi="Arial"/>
          <w:sz w:val="18"/>
          <w:szCs w:val="18"/>
          <w:color w:val="auto"/>
        </w:rPr>
        <w:t>- continued</w:t>
      </w:r>
    </w:p>
    <w:p>
      <w:pPr>
        <w:spacing w:after="0" w:line="126" w:lineRule="exact"/>
        <w:rPr>
          <w:sz w:val="20"/>
          <w:szCs w:val="20"/>
          <w:color w:val="auto"/>
        </w:rPr>
      </w:pPr>
    </w:p>
    <w:p>
      <w:pPr>
        <w:jc w:val="both"/>
        <w:ind w:left="620" w:right="220"/>
        <w:spacing w:after="0" w:line="264" w:lineRule="auto"/>
        <w:rPr>
          <w:sz w:val="20"/>
          <w:szCs w:val="20"/>
          <w:color w:val="auto"/>
        </w:rPr>
      </w:pPr>
      <w:r>
        <w:rPr>
          <w:rFonts w:ascii="Arial" w:cs="Arial" w:eastAsia="Arial" w:hAnsi="Arial"/>
          <w:sz w:val="18"/>
          <w:szCs w:val="18"/>
          <w:color w:val="auto"/>
        </w:rPr>
        <w:t>exchange in any other jurisdiction (on any combination of such exchanges and jurisdictions) acceptable to the majority preferred shareholders to the Company with aggregate offering proceeds (before deduction of fees, commissions or expenses) to the Company and selling shareholders, if any, of not less than $50,000 (or any cash proceeds of other currency of equivalent value).</w:t>
      </w:r>
    </w:p>
    <w:p>
      <w:pPr>
        <w:spacing w:after="0" w:line="73" w:lineRule="exact"/>
        <w:rPr>
          <w:sz w:val="20"/>
          <w:szCs w:val="20"/>
          <w:color w:val="auto"/>
        </w:rPr>
      </w:pPr>
    </w:p>
    <w:p>
      <w:pPr>
        <w:ind w:left="620" w:right="440"/>
        <w:spacing w:after="0" w:line="342" w:lineRule="auto"/>
        <w:rPr>
          <w:sz w:val="20"/>
          <w:szCs w:val="20"/>
          <w:color w:val="auto"/>
        </w:rPr>
      </w:pPr>
      <w:r>
        <w:rPr>
          <w:rFonts w:ascii="Arial" w:cs="Arial" w:eastAsia="Arial" w:hAnsi="Arial"/>
          <w:sz w:val="16"/>
          <w:szCs w:val="16"/>
          <w:color w:val="auto"/>
        </w:rPr>
        <w:t>The Company has determined that there was no beneficial conversion feature attributable to the various series of preferred shares because the initial conversion prices was higher than the fair value of the Company’s ordinary shares on issue date of each series shares.</w:t>
      </w:r>
    </w:p>
    <w:p>
      <w:pPr>
        <w:spacing w:after="0" w:line="268" w:lineRule="exact"/>
        <w:rPr>
          <w:sz w:val="20"/>
          <w:szCs w:val="20"/>
          <w:color w:val="auto"/>
        </w:rPr>
      </w:pPr>
    </w:p>
    <w:p>
      <w:pPr>
        <w:ind w:left="620" w:right="7820" w:hanging="441"/>
        <w:spacing w:after="0" w:line="400" w:lineRule="auto"/>
        <w:tabs>
          <w:tab w:leader="none" w:pos="61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b w:val="1"/>
          <w:bCs w:val="1"/>
          <w:i w:val="1"/>
          <w:iCs w:val="1"/>
          <w:color w:val="auto"/>
        </w:rPr>
        <w:t>I. Share options</w:t>
      </w:r>
    </w:p>
    <w:p>
      <w:pPr>
        <w:spacing w:after="0" w:line="1" w:lineRule="exact"/>
        <w:rPr>
          <w:sz w:val="20"/>
          <w:szCs w:val="20"/>
          <w:color w:val="auto"/>
        </w:rPr>
      </w:pPr>
    </w:p>
    <w:p>
      <w:pPr>
        <w:ind w:left="620" w:right="60"/>
        <w:spacing w:after="0" w:line="277" w:lineRule="auto"/>
        <w:rPr>
          <w:sz w:val="20"/>
          <w:szCs w:val="20"/>
          <w:color w:val="auto"/>
        </w:rPr>
      </w:pPr>
      <w:r>
        <w:rPr>
          <w:rFonts w:ascii="Arial" w:cs="Arial" w:eastAsia="Arial" w:hAnsi="Arial"/>
          <w:sz w:val="18"/>
          <w:szCs w:val="18"/>
          <w:color w:val="auto"/>
        </w:rPr>
        <w:t>On March 1, 2014, the Company granted 4,048,660, 444,866 and 100,000 share options to its executives, employees and consultants, respectively, with exercise prices of $0.1404 per share, which has a vesting period of four years.</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information regarding the share options granted:</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3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color w:val="auto"/>
              </w:rPr>
              <w:t>For the nine-month periods ended September 30,</w:t>
            </w: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23"/>
              <w:spacing w:after="0" w:line="142" w:lineRule="exact"/>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63"/>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Weighted average</w:t>
            </w: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89"/>
              </w:rPr>
              <w:t>Weighted 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w w:val="89"/>
              </w:rPr>
              <w:t>Weighted 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4"/>
              </w:rPr>
              <w:t>fair value</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Weighted 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fair value</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w w:val="97"/>
              </w:rPr>
              <w:t>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2"/>
              </w:rPr>
              <w:t>exercise price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3"/>
              </w:rPr>
              <w:t>per option</w:t>
            </w:r>
          </w:p>
        </w:tc>
        <w:tc>
          <w:tcPr>
            <w:tcW w:w="40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43"/>
              <w:spacing w:after="0" w:line="149" w:lineRule="exact"/>
              <w:rPr>
                <w:sz w:val="20"/>
                <w:szCs w:val="20"/>
                <w:color w:val="auto"/>
              </w:rPr>
            </w:pPr>
            <w:r>
              <w:rPr>
                <w:rFonts w:ascii="Arial" w:cs="Arial" w:eastAsia="Arial" w:hAnsi="Arial"/>
                <w:sz w:val="14"/>
                <w:szCs w:val="14"/>
                <w:color w:val="auto"/>
                <w:w w:val="92"/>
              </w:rPr>
              <w:t>exercise price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per option</w:t>
            </w:r>
          </w:p>
        </w:tc>
        <w:tc>
          <w:tcPr>
            <w:tcW w:w="0" w:type="dxa"/>
            <w:vAlign w:val="bottom"/>
          </w:tcPr>
          <w:p>
            <w:pPr>
              <w:spacing w:after="0"/>
              <w:rPr>
                <w:sz w:val="1"/>
                <w:szCs w:val="1"/>
                <w:color w:val="auto"/>
              </w:rPr>
            </w:pPr>
          </w:p>
        </w:tc>
      </w:tr>
      <w:tr>
        <w:trPr>
          <w:trHeight w:val="167"/>
        </w:trPr>
        <w:tc>
          <w:tcPr>
            <w:tcW w:w="33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color w:val="auto"/>
              </w:rPr>
              <w:t>options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3"/>
              <w:spacing w:after="0"/>
              <w:rPr>
                <w:sz w:val="20"/>
                <w:szCs w:val="20"/>
                <w:color w:val="auto"/>
              </w:rPr>
            </w:pPr>
            <w:r>
              <w:rPr>
                <w:rFonts w:ascii="Arial" w:cs="Arial" w:eastAsia="Arial" w:hAnsi="Arial"/>
                <w:sz w:val="14"/>
                <w:szCs w:val="14"/>
                <w:color w:val="auto"/>
                <w:w w:val="96"/>
              </w:rPr>
              <w:t>per option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3"/>
              <w:spacing w:after="0"/>
              <w:rPr>
                <w:sz w:val="20"/>
                <w:szCs w:val="20"/>
                <w:color w:val="auto"/>
              </w:rPr>
            </w:pPr>
            <w:r>
              <w:rPr>
                <w:rFonts w:ascii="Arial" w:cs="Arial" w:eastAsia="Arial" w:hAnsi="Arial"/>
                <w:sz w:val="14"/>
                <w:szCs w:val="14"/>
                <w:color w:val="auto"/>
                <w:w w:val="91"/>
              </w:rPr>
              <w:t>at grant date</w:t>
            </w:r>
          </w:p>
        </w:tc>
        <w:tc>
          <w:tcPr>
            <w:tcW w:w="4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options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43"/>
              <w:spacing w:after="0"/>
              <w:rPr>
                <w:sz w:val="20"/>
                <w:szCs w:val="20"/>
                <w:color w:val="auto"/>
              </w:rPr>
            </w:pPr>
            <w:r>
              <w:rPr>
                <w:rFonts w:ascii="Arial" w:cs="Arial" w:eastAsia="Arial" w:hAnsi="Arial"/>
                <w:sz w:val="14"/>
                <w:szCs w:val="14"/>
                <w:color w:val="auto"/>
              </w:rPr>
              <w:t>per option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at grant date</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beginning of period</w:t>
            </w:r>
          </w:p>
        </w:tc>
        <w:tc>
          <w:tcPr>
            <w:tcW w:w="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9,150,000</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0.0327</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0.1600</w:t>
            </w: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23,230,000</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0.0980</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6"/>
                <w:szCs w:val="16"/>
                <w:color w:val="auto"/>
              </w:rPr>
              <w:t>Granted</w:t>
            </w: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4,593,526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0.1404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0.1404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6"/>
                <w:szCs w:val="16"/>
                <w:color w:val="auto"/>
              </w:rPr>
              <w:t>Outstanding at end of period</w:t>
            </w: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20" w:type="dxa"/>
            <w:vAlign w:val="bottom"/>
            <w:vMerge w:val="continue"/>
          </w:tcPr>
          <w:p>
            <w:pPr>
              <w:spacing w:after="0"/>
              <w:rPr>
                <w:sz w:val="17"/>
                <w:szCs w:val="17"/>
                <w:color w:val="auto"/>
              </w:rPr>
            </w:pPr>
          </w:p>
        </w:tc>
        <w:tc>
          <w:tcPr>
            <w:tcW w:w="700" w:type="dxa"/>
            <w:vAlign w:val="bottom"/>
          </w:tcPr>
          <w:p>
            <w:pPr>
              <w:ind w:left="40"/>
              <w:spacing w:after="0"/>
              <w:rPr>
                <w:sz w:val="20"/>
                <w:szCs w:val="20"/>
                <w:color w:val="auto"/>
              </w:rPr>
            </w:pPr>
            <w:r>
              <w:rPr>
                <w:rFonts w:ascii="Arial" w:cs="Arial" w:eastAsia="Arial" w:hAnsi="Arial"/>
                <w:sz w:val="16"/>
                <w:szCs w:val="16"/>
                <w:color w:val="auto"/>
                <w:w w:val="89"/>
              </w:rPr>
              <w:t>9,150,000</w:t>
            </w:r>
          </w:p>
        </w:tc>
        <w:tc>
          <w:tcPr>
            <w:tcW w:w="500" w:type="dxa"/>
            <w:vAlign w:val="bottom"/>
            <w:gridSpan w:val="2"/>
          </w:tcPr>
          <w:p>
            <w:pPr>
              <w:ind w:left="4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0.0327</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0.1600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27,763,526</w:t>
            </w:r>
          </w:p>
        </w:tc>
        <w:tc>
          <w:tcPr>
            <w:tcW w:w="2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0.1049</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0.8415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right="660"/>
        <w:spacing w:after="0" w:line="342" w:lineRule="auto"/>
        <w:rPr>
          <w:sz w:val="20"/>
          <w:szCs w:val="20"/>
          <w:color w:val="auto"/>
        </w:rPr>
      </w:pPr>
      <w:r>
        <w:rPr>
          <w:rFonts w:ascii="Arial" w:cs="Arial" w:eastAsia="Arial" w:hAnsi="Arial"/>
          <w:sz w:val="16"/>
          <w:szCs w:val="16"/>
          <w:color w:val="auto"/>
        </w:rPr>
        <w:t>There were 4,003,125 vested options, and 23,760,401 options expected to vest as of September 30, 2014. For options expected to vest, the weighted-average exercise price is $0.1171 and aggregate intrinsic value is $167,106 as of September 30, 2014, respectively.</w:t>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 continued</w:t>
      </w:r>
    </w:p>
    <w:p>
      <w:pPr>
        <w:spacing w:after="0" w:line="161" w:lineRule="exact"/>
        <w:rPr>
          <w:rFonts w:ascii="Arial" w:cs="Arial" w:eastAsia="Arial" w:hAnsi="Arial"/>
          <w:sz w:val="18"/>
          <w:szCs w:val="18"/>
          <w:b w:val="1"/>
          <w:bCs w:val="1"/>
          <w:color w:val="auto"/>
        </w:rPr>
      </w:pPr>
    </w:p>
    <w:p>
      <w:pPr>
        <w:ind w:left="620" w:hanging="156"/>
        <w:spacing w:after="0"/>
        <w:tabs>
          <w:tab w:leader="none" w:pos="620" w:val="left"/>
        </w:tabs>
        <w:numPr>
          <w:ilvl w:val="1"/>
          <w:numId w:val="1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Share options </w:t>
      </w:r>
      <w:r>
        <w:rPr>
          <w:rFonts w:ascii="Arial" w:cs="Arial" w:eastAsia="Arial" w:hAnsi="Arial"/>
          <w:sz w:val="18"/>
          <w:szCs w:val="18"/>
          <w:color w:val="auto"/>
        </w:rPr>
        <w:t>- continued</w:t>
      </w:r>
    </w:p>
    <w:p>
      <w:pPr>
        <w:spacing w:after="0" w:line="333" w:lineRule="exact"/>
        <w:rPr>
          <w:rFonts w:ascii="Arial" w:cs="Arial" w:eastAsia="Arial" w:hAnsi="Arial"/>
          <w:sz w:val="18"/>
          <w:szCs w:val="18"/>
          <w:b w:val="1"/>
          <w:bCs w:val="1"/>
          <w:i w:val="1"/>
          <w:iCs w:val="1"/>
          <w:color w:val="auto"/>
        </w:rPr>
      </w:pP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summarizes information with respect to share options outstanding as of September 30, 2014:</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4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color w:val="auto"/>
              </w:rPr>
              <w:t>Options outstanding</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9"/>
              </w:rPr>
              <w:t>Options exercisable</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3"/>
        </w:trPr>
        <w:tc>
          <w:tcPr>
            <w:tcW w:w="2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4"/>
              </w:rPr>
              <w:t>Aggregate intrinsic</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4"/>
              </w:rPr>
              <w:t>Aggregate intrinsic</w:t>
            </w:r>
          </w:p>
        </w:tc>
        <w:tc>
          <w:tcPr>
            <w:tcW w:w="80" w:type="dxa"/>
            <w:vAlign w:val="bottom"/>
          </w:tcPr>
          <w:p>
            <w:pPr>
              <w:spacing w:after="0"/>
              <w:rPr>
                <w:sz w:val="10"/>
                <w:szCs w:val="10"/>
                <w:color w:val="auto"/>
              </w:rPr>
            </w:pPr>
          </w:p>
        </w:tc>
      </w:tr>
      <w:tr>
        <w:trPr>
          <w:trHeight w:val="149"/>
        </w:trPr>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w w:val="89"/>
              </w:rPr>
              <w:t>Weighted 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1"/>
              </w:rPr>
              <w:t>value as of</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value as of</w:t>
            </w:r>
          </w:p>
        </w:tc>
      </w:tr>
      <w:tr>
        <w:trPr>
          <w:trHeight w:val="149"/>
        </w:trPr>
        <w:tc>
          <w:tcPr>
            <w:tcW w:w="2440" w:type="dxa"/>
            <w:vAlign w:val="bottom"/>
          </w:tcPr>
          <w:p>
            <w:pPr>
              <w:spacing w:after="0"/>
              <w:rPr>
                <w:sz w:val="12"/>
                <w:szCs w:val="12"/>
                <w:color w:val="auto"/>
              </w:rPr>
            </w:pPr>
          </w:p>
        </w:tc>
        <w:tc>
          <w:tcPr>
            <w:tcW w:w="760" w:type="dxa"/>
            <w:vAlign w:val="bottom"/>
          </w:tcPr>
          <w:p>
            <w:pPr>
              <w:jc w:val="right"/>
              <w:ind w:right="62"/>
              <w:spacing w:after="0" w:line="149" w:lineRule="exact"/>
              <w:rPr>
                <w:sz w:val="20"/>
                <w:szCs w:val="20"/>
                <w:color w:val="auto"/>
              </w:rPr>
            </w:pPr>
            <w:r>
              <w:rPr>
                <w:rFonts w:ascii="Arial" w:cs="Arial" w:eastAsia="Arial" w:hAnsi="Arial"/>
                <w:sz w:val="14"/>
                <w:szCs w:val="14"/>
                <w:color w:val="auto"/>
              </w:rPr>
              <w:t>Number</w:t>
            </w:r>
          </w:p>
        </w:tc>
        <w:tc>
          <w:tcPr>
            <w:tcW w:w="360" w:type="dxa"/>
            <w:vAlign w:val="bottom"/>
          </w:tcPr>
          <w:p>
            <w:pPr>
              <w:spacing w:after="0"/>
              <w:rPr>
                <w:sz w:val="12"/>
                <w:szCs w:val="12"/>
                <w:color w:val="auto"/>
              </w:rPr>
            </w:pPr>
          </w:p>
        </w:tc>
        <w:tc>
          <w:tcPr>
            <w:tcW w:w="1040" w:type="dxa"/>
            <w:vAlign w:val="bottom"/>
          </w:tcPr>
          <w:p>
            <w:pPr>
              <w:jc w:val="right"/>
              <w:ind w:right="146"/>
              <w:spacing w:after="0" w:line="149" w:lineRule="exact"/>
              <w:rPr>
                <w:sz w:val="20"/>
                <w:szCs w:val="20"/>
                <w:color w:val="auto"/>
              </w:rPr>
            </w:pPr>
            <w:r>
              <w:rPr>
                <w:rFonts w:ascii="Arial" w:cs="Arial" w:eastAsia="Arial" w:hAnsi="Arial"/>
                <w:sz w:val="14"/>
                <w:szCs w:val="14"/>
                <w:color w:val="auto"/>
              </w:rPr>
              <w:t>remaining</w:t>
            </w:r>
          </w:p>
        </w:tc>
        <w:tc>
          <w:tcPr>
            <w:tcW w:w="3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Exercise price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1"/>
              </w:rPr>
              <w:t>September 30,</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w w:val="93"/>
              </w:rPr>
              <w:t>Exercise price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24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outstanding</w:t>
            </w:r>
          </w:p>
        </w:tc>
        <w:tc>
          <w:tcPr>
            <w:tcW w:w="3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contractual term</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w w:val="93"/>
              </w:rPr>
              <w:t>per option</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89"/>
              </w:rPr>
              <w:t>2014</w:t>
            </w:r>
          </w:p>
        </w:tc>
        <w:tc>
          <w:tcPr>
            <w:tcW w:w="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exercisable</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w w:val="96"/>
              </w:rPr>
              <w:t>per option</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w w:val="96"/>
              </w:rPr>
              <w:t>2014</w:t>
            </w:r>
          </w:p>
        </w:tc>
        <w:tc>
          <w:tcPr>
            <w:tcW w:w="80" w:type="dxa"/>
            <w:vAlign w:val="bottom"/>
            <w:tcBorders>
              <w:bottom w:val="single" w:sz="8" w:color="CCEEFF"/>
            </w:tcBorders>
          </w:tcPr>
          <w:p>
            <w:pPr>
              <w:spacing w:after="0"/>
              <w:rPr>
                <w:sz w:val="14"/>
                <w:szCs w:val="14"/>
                <w:color w:val="auto"/>
              </w:rPr>
            </w:pPr>
          </w:p>
        </w:tc>
      </w:tr>
      <w:tr>
        <w:trPr>
          <w:trHeight w:val="196"/>
        </w:trPr>
        <w:tc>
          <w:tcPr>
            <w:tcW w:w="2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November 1, 2012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9,150,000</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0.0327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65,123</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4,003,125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0.0327</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28,491</w:t>
            </w:r>
          </w:p>
        </w:tc>
        <w:tc>
          <w:tcPr>
            <w:tcW w:w="80" w:type="dxa"/>
            <w:vAlign w:val="bottom"/>
            <w:shd w:val="clear" w:color="auto" w:fill="CCEEFF"/>
          </w:tcPr>
          <w:p>
            <w:pPr>
              <w:spacing w:after="0"/>
              <w:rPr>
                <w:sz w:val="17"/>
                <w:szCs w:val="17"/>
                <w:color w:val="auto"/>
              </w:rPr>
            </w:pPr>
          </w:p>
        </w:tc>
      </w:tr>
      <w:tr>
        <w:trPr>
          <w:trHeight w:val="203"/>
        </w:trPr>
        <w:tc>
          <w:tcPr>
            <w:tcW w:w="2440" w:type="dxa"/>
            <w:vAlign w:val="bottom"/>
          </w:tcPr>
          <w:p>
            <w:pPr>
              <w:ind w:left="320"/>
              <w:spacing w:after="0"/>
              <w:rPr>
                <w:sz w:val="20"/>
                <w:szCs w:val="20"/>
                <w:color w:val="auto"/>
              </w:rPr>
            </w:pPr>
            <w:r>
              <w:rPr>
                <w:rFonts w:ascii="Arial" w:cs="Arial" w:eastAsia="Arial" w:hAnsi="Arial"/>
                <w:sz w:val="16"/>
                <w:szCs w:val="16"/>
                <w:color w:val="auto"/>
              </w:rPr>
              <w:t>October 10, 2013</w:t>
            </w: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14,020,000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9.03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0.1404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98,275</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March 1, 2014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4,593,526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0.1404</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32,199</w:t>
            </w:r>
          </w:p>
        </w:tc>
        <w:tc>
          <w:tcPr>
            <w:tcW w:w="3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7"/>
        </w:trPr>
        <w:tc>
          <w:tcPr>
            <w:tcW w:w="2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27,763,526</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195,597</w:t>
            </w:r>
          </w:p>
        </w:tc>
        <w:tc>
          <w:tcPr>
            <w:tcW w:w="106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4,003,125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28,491</w:t>
            </w:r>
          </w:p>
        </w:tc>
        <w:tc>
          <w:tcPr>
            <w:tcW w:w="80" w:type="dxa"/>
            <w:vAlign w:val="bottom"/>
          </w:tcPr>
          <w:p>
            <w:pPr>
              <w:spacing w:after="0"/>
              <w:rPr>
                <w:sz w:val="17"/>
                <w:szCs w:val="17"/>
                <w:color w:val="auto"/>
              </w:rPr>
            </w:pPr>
          </w:p>
        </w:tc>
      </w:tr>
      <w:tr>
        <w:trPr>
          <w:trHeight w:val="20"/>
        </w:trPr>
        <w:tc>
          <w:tcPr>
            <w:tcW w:w="2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The fair value of each option granted was estimated on the date of grant using the binomial tree pricing model with the following assumptions used for grants during the applicable periods:</w:t>
      </w:r>
    </w:p>
    <w:p>
      <w:pPr>
        <w:spacing w:after="0" w:line="18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720" w:type="dxa"/>
            <w:vAlign w:val="bottom"/>
            <w:gridSpan w:val="2"/>
          </w:tcPr>
          <w:p>
            <w:pPr>
              <w:jc w:val="center"/>
              <w:ind w:right="720"/>
              <w:spacing w:after="0"/>
              <w:rPr>
                <w:sz w:val="20"/>
                <w:szCs w:val="20"/>
                <w:color w:val="auto"/>
              </w:rPr>
            </w:pPr>
            <w:r>
              <w:rPr>
                <w:rFonts w:ascii="Arial" w:cs="Arial" w:eastAsia="Arial" w:hAnsi="Arial"/>
                <w:sz w:val="14"/>
                <w:szCs w:val="14"/>
                <w:color w:val="auto"/>
                <w:w w:val="94"/>
              </w:rPr>
              <w:t>Risk-free interest</w:t>
            </w:r>
          </w:p>
        </w:tc>
        <w:tc>
          <w:tcPr>
            <w:tcW w:w="1320" w:type="dxa"/>
            <w:vAlign w:val="bottom"/>
            <w:gridSpan w:val="2"/>
          </w:tcPr>
          <w:p>
            <w:pPr>
              <w:jc w:val="right"/>
              <w:ind w:right="640"/>
              <w:spacing w:after="0"/>
              <w:rPr>
                <w:sz w:val="20"/>
                <w:szCs w:val="20"/>
                <w:color w:val="auto"/>
              </w:rPr>
            </w:pPr>
            <w:r>
              <w:rPr>
                <w:rFonts w:ascii="Arial" w:cs="Arial" w:eastAsia="Arial" w:hAnsi="Arial"/>
                <w:sz w:val="14"/>
                <w:szCs w:val="14"/>
                <w:color w:val="auto"/>
                <w:w w:val="92"/>
              </w:rPr>
              <w:t>Contractual</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3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rate of return</w:t>
            </w:r>
          </w:p>
        </w:tc>
        <w:tc>
          <w:tcPr>
            <w:tcW w:w="7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term</w:t>
            </w:r>
          </w:p>
        </w:tc>
        <w:tc>
          <w:tcPr>
            <w:tcW w:w="6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Volatility</w:t>
            </w:r>
          </w:p>
        </w:tc>
        <w:tc>
          <w:tcPr>
            <w:tcW w:w="7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Dividend yield</w:t>
            </w:r>
          </w:p>
        </w:tc>
        <w:tc>
          <w:tcPr>
            <w:tcW w:w="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Exercise Price</w:t>
            </w:r>
          </w:p>
        </w:tc>
        <w:tc>
          <w:tcPr>
            <w:tcW w:w="80" w:type="dxa"/>
            <w:vAlign w:val="bottom"/>
            <w:tcBorders>
              <w:bottom w:val="single" w:sz="8" w:color="CCEEFF"/>
            </w:tcBorders>
          </w:tcPr>
          <w:p>
            <w:pPr>
              <w:spacing w:after="0"/>
              <w:rPr>
                <w:sz w:val="14"/>
                <w:szCs w:val="14"/>
                <w:color w:val="auto"/>
              </w:rPr>
            </w:pPr>
          </w:p>
        </w:tc>
      </w:tr>
      <w:tr>
        <w:trPr>
          <w:trHeight w:val="196"/>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November 1, 2012</w:t>
            </w: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2.31%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years</w:t>
            </w:r>
          </w:p>
        </w:tc>
        <w:tc>
          <w:tcPr>
            <w:tcW w:w="6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61.70%</w:t>
            </w:r>
          </w:p>
        </w:tc>
        <w:tc>
          <w:tcPr>
            <w:tcW w:w="8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0.0327</w:t>
            </w:r>
          </w:p>
        </w:tc>
        <w:tc>
          <w:tcPr>
            <w:tcW w:w="80" w:type="dxa"/>
            <w:vAlign w:val="bottom"/>
            <w:shd w:val="clear" w:color="auto" w:fill="CCEEFF"/>
          </w:tcPr>
          <w:p>
            <w:pPr>
              <w:spacing w:after="0"/>
              <w:rPr>
                <w:sz w:val="17"/>
                <w:szCs w:val="17"/>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October 10, 2013</w:t>
            </w:r>
          </w:p>
        </w:tc>
        <w:tc>
          <w:tcPr>
            <w:tcW w:w="1720" w:type="dxa"/>
            <w:vAlign w:val="bottom"/>
            <w:gridSpan w:val="2"/>
          </w:tcPr>
          <w:p>
            <w:pPr>
              <w:jc w:val="right"/>
              <w:ind w:right="580"/>
              <w:spacing w:after="0"/>
              <w:rPr>
                <w:sz w:val="20"/>
                <w:szCs w:val="20"/>
                <w:color w:val="auto"/>
              </w:rPr>
            </w:pPr>
            <w:r>
              <w:rPr>
                <w:rFonts w:ascii="Arial" w:cs="Arial" w:eastAsia="Arial" w:hAnsi="Arial"/>
                <w:sz w:val="16"/>
                <w:szCs w:val="16"/>
                <w:color w:val="auto"/>
              </w:rPr>
              <w:t>3.09%</w:t>
            </w:r>
          </w:p>
        </w:tc>
        <w:tc>
          <w:tcPr>
            <w:tcW w:w="1320" w:type="dxa"/>
            <w:vAlign w:val="bottom"/>
            <w:gridSpan w:val="2"/>
          </w:tcPr>
          <w:p>
            <w:pPr>
              <w:jc w:val="right"/>
              <w:ind w:right="640"/>
              <w:spacing w:after="0"/>
              <w:rPr>
                <w:sz w:val="20"/>
                <w:szCs w:val="20"/>
                <w:color w:val="auto"/>
              </w:rPr>
            </w:pPr>
            <w:r>
              <w:rPr>
                <w:rFonts w:ascii="Arial" w:cs="Arial" w:eastAsia="Arial" w:hAnsi="Arial"/>
                <w:sz w:val="16"/>
                <w:szCs w:val="16"/>
                <w:color w:val="auto"/>
              </w:rPr>
              <w:t>10 years</w:t>
            </w:r>
          </w:p>
        </w:tc>
        <w:tc>
          <w:tcPr>
            <w:tcW w:w="1240" w:type="dxa"/>
            <w:vAlign w:val="bottom"/>
            <w:gridSpan w:val="2"/>
          </w:tcPr>
          <w:p>
            <w:pPr>
              <w:jc w:val="right"/>
              <w:ind w:right="580"/>
              <w:spacing w:after="0"/>
              <w:rPr>
                <w:sz w:val="20"/>
                <w:szCs w:val="20"/>
                <w:color w:val="auto"/>
              </w:rPr>
            </w:pPr>
            <w:r>
              <w:rPr>
                <w:rFonts w:ascii="Arial" w:cs="Arial" w:eastAsia="Arial" w:hAnsi="Arial"/>
                <w:sz w:val="16"/>
                <w:szCs w:val="16"/>
                <w:color w:val="auto"/>
              </w:rPr>
              <w:t>54.40%</w:t>
            </w:r>
          </w:p>
        </w:tc>
        <w:tc>
          <w:tcPr>
            <w:tcW w:w="15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0.1404</w:t>
            </w:r>
          </w:p>
        </w:tc>
        <w:tc>
          <w:tcPr>
            <w:tcW w:w="8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March 1, 2014</w:t>
            </w: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3.25%</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10 years</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53.70%</w:t>
            </w: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0.1404</w:t>
            </w:r>
          </w:p>
        </w:tc>
        <w:tc>
          <w:tcPr>
            <w:tcW w:w="80" w:type="dxa"/>
            <w:vAlign w:val="bottom"/>
            <w:shd w:val="clear" w:color="auto" w:fill="CCEEFF"/>
          </w:tcPr>
          <w:p>
            <w:pPr>
              <w:spacing w:after="0"/>
              <w:rPr>
                <w:sz w:val="17"/>
                <w:szCs w:val="17"/>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(1) Risk-free interest rate</w:t>
      </w:r>
    </w:p>
    <w:p>
      <w:pPr>
        <w:spacing w:after="0" w:line="117" w:lineRule="exact"/>
        <w:rPr>
          <w:sz w:val="20"/>
          <w:szCs w:val="20"/>
          <w:color w:val="auto"/>
        </w:rPr>
      </w:pPr>
    </w:p>
    <w:p>
      <w:pPr>
        <w:ind w:left="620" w:right="300"/>
        <w:spacing w:after="0" w:line="277" w:lineRule="auto"/>
        <w:rPr>
          <w:sz w:val="20"/>
          <w:szCs w:val="20"/>
          <w:color w:val="auto"/>
        </w:rPr>
      </w:pPr>
      <w:r>
        <w:rPr>
          <w:rFonts w:ascii="Arial" w:cs="Arial" w:eastAsia="Arial" w:hAnsi="Arial"/>
          <w:sz w:val="18"/>
          <w:szCs w:val="18"/>
          <w:color w:val="auto"/>
        </w:rPr>
        <w:t>Risk-free interest rate was estimated based on the yield to maturity of China international government bonds with a maturity period close to the expected term of the options.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(2) Contractual term</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used the original contractual term.</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(3) Volatility</w:t>
      </w:r>
    </w:p>
    <w:p>
      <w:pPr>
        <w:spacing w:after="0" w:line="117" w:lineRule="exact"/>
        <w:rPr>
          <w:sz w:val="20"/>
          <w:szCs w:val="20"/>
          <w:color w:val="auto"/>
        </w:rPr>
      </w:pPr>
    </w:p>
    <w:p>
      <w:pPr>
        <w:ind w:left="620" w:right="680"/>
        <w:spacing w:after="0" w:line="277" w:lineRule="auto"/>
        <w:rPr>
          <w:sz w:val="20"/>
          <w:szCs w:val="20"/>
          <w:color w:val="auto"/>
        </w:rPr>
      </w:pPr>
      <w:r>
        <w:rPr>
          <w:rFonts w:ascii="Arial" w:cs="Arial" w:eastAsia="Arial" w:hAnsi="Arial"/>
          <w:sz w:val="18"/>
          <w:szCs w:val="18"/>
          <w:color w:val="auto"/>
        </w:rPr>
        <w:t>The volatility of the underlying ordinary shares during the life of the options was estimated based on the historical stock price volatility of comparable listed companies over a period comparable to the expected term of the options.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(4) Dividend yield</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dividend yield was estimated by the Group based on its expected dividend policy over the expected term of the options.</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(5) Exercise price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exercise price of the options was determined by the Group’s board of directors.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240" w:top="460" w:right="4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80" w:right="234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7020" w:hanging="452"/>
        <w:spacing w:after="0" w:line="454" w:lineRule="auto"/>
        <w:tabs>
          <w:tab w:leader="none" w:pos="449"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 continued </w:t>
      </w:r>
      <w:r>
        <w:rPr>
          <w:rFonts w:ascii="Arial" w:cs="Arial" w:eastAsia="Arial" w:hAnsi="Arial"/>
          <w:sz w:val="18"/>
          <w:szCs w:val="18"/>
          <w:b w:val="1"/>
          <w:bCs w:val="1"/>
          <w:i w:val="1"/>
          <w:iCs w:val="1"/>
          <w:color w:val="auto"/>
        </w:rPr>
        <w:t xml:space="preserve">I. Share options </w:t>
      </w:r>
      <w:r>
        <w:rPr>
          <w:rFonts w:ascii="Arial" w:cs="Arial" w:eastAsia="Arial" w:hAnsi="Arial"/>
          <w:sz w:val="18"/>
          <w:szCs w:val="18"/>
          <w:color w:val="auto"/>
        </w:rPr>
        <w:t>- continued</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(6) Fair value of underlying ordinary shares</w:t>
      </w:r>
    </w:p>
    <w:p>
      <w:pPr>
        <w:spacing w:after="0" w:line="117" w:lineRule="exact"/>
        <w:rPr>
          <w:sz w:val="20"/>
          <w:szCs w:val="20"/>
          <w:color w:val="auto"/>
        </w:rPr>
      </w:pPr>
    </w:p>
    <w:p>
      <w:pPr>
        <w:ind w:left="620" w:right="320"/>
        <w:spacing w:after="0" w:line="277" w:lineRule="auto"/>
        <w:rPr>
          <w:sz w:val="20"/>
          <w:szCs w:val="20"/>
          <w:color w:val="auto"/>
        </w:rPr>
      </w:pPr>
      <w:r>
        <w:rPr>
          <w:rFonts w:ascii="Arial" w:cs="Arial" w:eastAsia="Arial" w:hAnsi="Arial"/>
          <w:sz w:val="18"/>
          <w:szCs w:val="18"/>
          <w:color w:val="auto"/>
        </w:rPr>
        <w:t>The estimated fair value of the ordinary shares underlying the options as of the respective grant dates was determined based on a retrospective valuation, which used management’s best estimate for projected cash flows as of each valuation date.</w:t>
      </w:r>
    </w:p>
    <w:p>
      <w:pPr>
        <w:spacing w:after="0" w:line="62" w:lineRule="exact"/>
        <w:rPr>
          <w:sz w:val="20"/>
          <w:szCs w:val="20"/>
          <w:color w:val="auto"/>
        </w:rPr>
      </w:pPr>
    </w:p>
    <w:p>
      <w:pPr>
        <w:ind w:left="620" w:right="220"/>
        <w:spacing w:after="0" w:line="264" w:lineRule="auto"/>
        <w:rPr>
          <w:sz w:val="20"/>
          <w:szCs w:val="20"/>
          <w:color w:val="auto"/>
        </w:rPr>
      </w:pPr>
      <w:r>
        <w:rPr>
          <w:rFonts w:ascii="Arial" w:cs="Arial" w:eastAsia="Arial" w:hAnsi="Arial"/>
          <w:sz w:val="18"/>
          <w:szCs w:val="18"/>
          <w:color w:val="auto"/>
        </w:rPr>
        <w:t>For employee share options, the Group recorded share-based compensation of $259 and $3,555 during the nine-month periods ended September 30, 2013 and 2014 respectively, based on the fair value on the grant dates over the requisite service period of award according to the vesting schedule for employee share option.</w:t>
      </w:r>
    </w:p>
    <w:p>
      <w:pPr>
        <w:spacing w:after="0" w:line="73" w:lineRule="exact"/>
        <w:rPr>
          <w:sz w:val="20"/>
          <w:szCs w:val="20"/>
          <w:color w:val="auto"/>
        </w:rPr>
      </w:pPr>
    </w:p>
    <w:p>
      <w:pPr>
        <w:ind w:left="620" w:right="320"/>
        <w:spacing w:after="0" w:line="342" w:lineRule="auto"/>
        <w:rPr>
          <w:sz w:val="20"/>
          <w:szCs w:val="20"/>
          <w:color w:val="auto"/>
        </w:rPr>
      </w:pPr>
      <w:r>
        <w:rPr>
          <w:rFonts w:ascii="Arial" w:cs="Arial" w:eastAsia="Arial" w:hAnsi="Arial"/>
          <w:sz w:val="16"/>
          <w:szCs w:val="16"/>
          <w:color w:val="auto"/>
        </w:rPr>
        <w:t>For non-employee options the Group recorded share-based compensation of $ 6 and $433 during the nine-month periods ended September 30, 2013 and 2014 respectively, based on the fair value at the commitment date and recognized over the period the service is provided.</w:t>
      </w:r>
    </w:p>
    <w:p>
      <w:pPr>
        <w:spacing w:after="0" w:line="16" w:lineRule="exact"/>
        <w:rPr>
          <w:sz w:val="20"/>
          <w:szCs w:val="20"/>
          <w:color w:val="auto"/>
        </w:rPr>
      </w:pPr>
    </w:p>
    <w:p>
      <w:pPr>
        <w:ind w:left="620" w:right="260"/>
        <w:spacing w:after="0" w:line="277" w:lineRule="auto"/>
        <w:rPr>
          <w:sz w:val="20"/>
          <w:szCs w:val="20"/>
          <w:color w:val="auto"/>
        </w:rPr>
      </w:pPr>
      <w:r>
        <w:rPr>
          <w:rFonts w:ascii="Arial" w:cs="Arial" w:eastAsia="Arial" w:hAnsi="Arial"/>
          <w:sz w:val="18"/>
          <w:szCs w:val="18"/>
          <w:color w:val="auto"/>
        </w:rPr>
        <w:t>As of September 30, 2014, total unrecognized compensation expense relating to unvested share options was $19,482, which will be recognized over 3.28 years. The weighted-average remaining contractual term of options outstanding is 8.78 years.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II. Non-vested restricted shares</w:t>
      </w:r>
    </w:p>
    <w:p>
      <w:pPr>
        <w:spacing w:after="0" w:line="117" w:lineRule="exact"/>
        <w:rPr>
          <w:sz w:val="20"/>
          <w:szCs w:val="20"/>
          <w:color w:val="auto"/>
        </w:rPr>
      </w:pPr>
    </w:p>
    <w:p>
      <w:pPr>
        <w:ind w:left="620"/>
        <w:spacing w:after="0" w:line="255" w:lineRule="auto"/>
        <w:rPr>
          <w:sz w:val="20"/>
          <w:szCs w:val="20"/>
          <w:color w:val="auto"/>
        </w:rPr>
      </w:pPr>
      <w:r>
        <w:rPr>
          <w:rFonts w:ascii="Arial" w:cs="Arial" w:eastAsia="Arial" w:hAnsi="Arial"/>
          <w:sz w:val="18"/>
          <w:szCs w:val="18"/>
          <w:color w:val="auto"/>
        </w:rPr>
        <w:t>In April 2012, the Company’s four founding shareholders entered into an arrangement with the investor in conjunction with the issuance of Series A preferred shares and Series B preferred shares, whereby all of their 147,000,000 ordinary shares (“Founders’ shares”) became subject to service and transfer restrictions. Such Founders’ shares are subject to repurchase by the Company upon early termination of their four years of employment. The repurchase price is the par value of the ordinary shares. 25% of the Founders’ shares shall be vested annually. The restricted share agreements were subsequently amended on June 11, 2012 and July 18, 2012, respectively. Pursuant to the agreements, 25% of the Founders’ shares shall vest upon the closing of issuance of Series B preferred shares and the remaining 75% shall be vested monthly in equal installments over the next 36 months.</w:t>
      </w:r>
    </w:p>
    <w:p>
      <w:pPr>
        <w:spacing w:after="0" w:line="81" w:lineRule="exact"/>
        <w:rPr>
          <w:sz w:val="20"/>
          <w:szCs w:val="20"/>
          <w:color w:val="auto"/>
        </w:rPr>
      </w:pPr>
    </w:p>
    <w:p>
      <w:pPr>
        <w:ind w:left="620" w:right="40"/>
        <w:spacing w:after="0" w:line="288" w:lineRule="auto"/>
        <w:rPr>
          <w:sz w:val="20"/>
          <w:szCs w:val="20"/>
          <w:color w:val="auto"/>
        </w:rPr>
      </w:pPr>
      <w:r>
        <w:rPr>
          <w:rFonts w:ascii="Arial" w:cs="Arial" w:eastAsia="Arial" w:hAnsi="Arial"/>
          <w:sz w:val="16"/>
          <w:szCs w:val="16"/>
          <w:color w:val="auto"/>
        </w:rPr>
        <w:t>On May 15, 2014, the Company’s four founding shareholders entered into an agreement with the investors to renew the arrangement. The Company considered the amendment of agreement as a modification of vesting of the restricted shares. Pursuant to the agreement, the Company shall be entitled to repurchase 50% and 25% of such shares in the case that founders terminate their employments with the Company before April 17, 2015 and during the period from April 17, 2015 to April 17, 2016, respectively, at a price of US$0.0001 per share or the lowest price permitted under applicable laws. Therefore, the Company considered that 50% of the total restricted shares were vested immediately on the amendment date and 25% shall be vested annually on April 17 in the next two years ending April 17, 2016. Before the modification date, May 15, 2014, there were 131,348,411 ordinary shares, of which 45,937,500 were unvested restricted shares. As the result of modification, 19,736,705 vested ordinary shares were classified to unvested restricted shares on the modification date and the corresponding compensation costs for these unvested restricted shares were amortized over the remaining service period. Because the modification does not affect any of the other terms or conditions of the award, the fair value of the restricted shares before and after the modification is the same.</w:t>
      </w: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80"/>
          </w:cols>
          <w:pgMar w:left="24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right="7080" w:hanging="452"/>
        <w:spacing w:after="0" w:line="495" w:lineRule="auto"/>
        <w:tabs>
          <w:tab w:leader="none" w:pos="449"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 continued </w:t>
      </w:r>
      <w:r>
        <w:rPr>
          <w:rFonts w:ascii="Arial" w:cs="Arial" w:eastAsia="Arial" w:hAnsi="Arial"/>
          <w:sz w:val="17"/>
          <w:szCs w:val="17"/>
          <w:b w:val="1"/>
          <w:bCs w:val="1"/>
          <w:i w:val="1"/>
          <w:iCs w:val="1"/>
          <w:color w:val="auto"/>
        </w:rPr>
        <w:t xml:space="preserve">II. Non-vested restricted shares </w:t>
      </w:r>
      <w:r>
        <w:rPr>
          <w:rFonts w:ascii="Arial" w:cs="Arial" w:eastAsia="Arial" w:hAnsi="Arial"/>
          <w:sz w:val="17"/>
          <w:szCs w:val="17"/>
          <w:color w:val="auto"/>
        </w:rPr>
        <w:t>- continued</w:t>
      </w:r>
    </w:p>
    <w:p>
      <w:pPr>
        <w:spacing w:after="0" w:line="103" w:lineRule="exact"/>
        <w:rPr>
          <w:sz w:val="20"/>
          <w:szCs w:val="20"/>
          <w:color w:val="auto"/>
        </w:rPr>
      </w:pPr>
    </w:p>
    <w:p>
      <w:pPr>
        <w:ind w:left="620" w:right="120"/>
        <w:spacing w:after="0" w:line="277" w:lineRule="auto"/>
        <w:rPr>
          <w:sz w:val="20"/>
          <w:szCs w:val="20"/>
          <w:color w:val="auto"/>
        </w:rPr>
      </w:pPr>
      <w:r>
        <w:rPr>
          <w:rFonts w:ascii="Arial" w:cs="Arial" w:eastAsia="Arial" w:hAnsi="Arial"/>
          <w:sz w:val="18"/>
          <w:szCs w:val="18"/>
          <w:color w:val="auto"/>
        </w:rPr>
        <w:t>A summary of non-vested restricted share activities during the nine-month periods ended September 30, 2013 and 2014, respectively, is presented below:</w:t>
      </w:r>
    </w:p>
    <w:p>
      <w:pPr>
        <w:spacing w:after="0" w:line="181"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2013</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94,937,500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(27,562,500)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Outstanding as of January 1, 2014</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58,187,500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Modification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19,736,705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65,674,205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average grant date fair value of the non-vested restricted shares was $0.01 per share and the aggregated fair value was $1,470.</w:t>
      </w:r>
    </w:p>
    <w:p>
      <w:pPr>
        <w:spacing w:after="0" w:line="117" w:lineRule="exact"/>
        <w:rPr>
          <w:sz w:val="20"/>
          <w:szCs w:val="20"/>
          <w:color w:val="auto"/>
        </w:rPr>
      </w:pPr>
    </w:p>
    <w:p>
      <w:pPr>
        <w:ind w:left="620" w:right="40"/>
        <w:spacing w:after="0" w:line="277" w:lineRule="auto"/>
        <w:rPr>
          <w:sz w:val="20"/>
          <w:szCs w:val="20"/>
          <w:color w:val="auto"/>
        </w:rPr>
      </w:pPr>
      <w:r>
        <w:rPr>
          <w:rFonts w:ascii="Arial" w:cs="Arial" w:eastAsia="Arial" w:hAnsi="Arial"/>
          <w:sz w:val="18"/>
          <w:szCs w:val="18"/>
          <w:color w:val="auto"/>
        </w:rPr>
        <w:t>The Company recorded compensation expense of $275 and $221 during the nine-month periods ended September 30, 2013 and 2014, respectively, related to non-vested restricted shares.</w:t>
      </w:r>
    </w:p>
    <w:p>
      <w:pPr>
        <w:spacing w:after="0" w:line="62"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As of September 30, 2014, total unrecognized compensation expense relating to the non-vested restricted shares was $346. The amount is expected to be recognized over 1.55 years using the straight-line method.</w:t>
      </w:r>
    </w:p>
    <w:p>
      <w:pPr>
        <w:spacing w:after="0" w:line="315" w:lineRule="exact"/>
        <w:rPr>
          <w:sz w:val="20"/>
          <w:szCs w:val="20"/>
          <w:color w:val="auto"/>
        </w:rPr>
      </w:pPr>
    </w:p>
    <w:p>
      <w:pPr>
        <w:ind w:left="620" w:hanging="441"/>
        <w:spacing w:after="0"/>
        <w:tabs>
          <w:tab w:leader="none" w:pos="62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6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has determined that its convertible redeemable participating preferred shares are participating securities as the preferred shares participate in undistributed earnings on an as-if-converted basis. The holders of the preferred shares are entitled to receive dividends on a pro rata basis, as if their shares had been converted into ordinary shares. The Group determined that the nonvested restricted shares are participating securities as the holders of the nonvested restricted shares have a nonforfeitable right to receive dividends with all ordinary shares but the nonvested restricted shares do not have a contractual obligation to fund or otherwise absorb the Company’s losses. Accordingly, the Group uses the two-class method of computing net loss per share, for ordinary shares, nonvested restricted shares and preferred shares according to participation rights in undistributed earnings.</w:t>
      </w: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240" w:top="460" w:right="4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820" w:right="20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 continued</w:t>
      </w:r>
    </w:p>
    <w:p>
      <w:pPr>
        <w:spacing w:after="0" w:line="3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calculation of net loss per share is as follows:</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40" w:type="dxa"/>
            <w:vAlign w:val="bottom"/>
            <w:gridSpan w:val="5"/>
          </w:tcPr>
          <w:p>
            <w:pPr>
              <w:ind w:left="220"/>
              <w:spacing w:after="0"/>
              <w:rPr>
                <w:sz w:val="20"/>
                <w:szCs w:val="20"/>
                <w:color w:val="auto"/>
              </w:rPr>
            </w:pPr>
            <w:r>
              <w:rPr>
                <w:rFonts w:ascii="Arial" w:cs="Arial" w:eastAsia="Arial" w:hAnsi="Arial"/>
                <w:sz w:val="14"/>
                <w:szCs w:val="14"/>
                <w:color w:val="auto"/>
              </w:rPr>
              <w:t>For the nine-month periods ended 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2013</w:t>
            </w:r>
          </w:p>
        </w:tc>
        <w:tc>
          <w:tcPr>
            <w:tcW w:w="12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8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1"/>
              </w:rPr>
              <w:t>Numerator:</w:t>
            </w:r>
          </w:p>
        </w:tc>
        <w:tc>
          <w:tcPr>
            <w:tcW w:w="54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tcPr>
          <w:p>
            <w:pPr>
              <w:spacing w:after="0"/>
              <w:rPr>
                <w:sz w:val="20"/>
                <w:szCs w:val="20"/>
                <w:color w:val="auto"/>
              </w:rPr>
            </w:pPr>
            <w:r>
              <w:rPr>
                <w:rFonts w:ascii="Arial" w:cs="Arial" w:eastAsia="Arial" w:hAnsi="Arial"/>
                <w:sz w:val="18"/>
                <w:szCs w:val="18"/>
                <w:color w:val="auto"/>
              </w:rPr>
              <w:t>Net loss attributable to Momo Inc.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140"/>
              <w:spacing w:after="0"/>
              <w:rPr>
                <w:sz w:val="20"/>
                <w:szCs w:val="20"/>
                <w:color w:val="auto"/>
              </w:rPr>
            </w:pPr>
            <w:r>
              <w:rPr>
                <w:rFonts w:ascii="Arial" w:cs="Arial" w:eastAsia="Arial" w:hAnsi="Arial"/>
                <w:sz w:val="18"/>
                <w:szCs w:val="18"/>
                <w:color w:val="auto"/>
              </w:rPr>
              <w:t>(6,259)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(22,881)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Deemed dividend to Series A-1 and Series A-2 shares</w:t>
            </w: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(30,767)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tcPr>
          <w:p>
            <w:pPr>
              <w:spacing w:after="0"/>
              <w:rPr>
                <w:sz w:val="20"/>
                <w:szCs w:val="20"/>
                <w:color w:val="auto"/>
              </w:rPr>
            </w:pPr>
            <w:r>
              <w:rPr>
                <w:rFonts w:ascii="Arial" w:cs="Arial" w:eastAsia="Arial" w:hAnsi="Arial"/>
                <w:sz w:val="18"/>
                <w:szCs w:val="18"/>
                <w:color w:val="auto"/>
              </w:rPr>
              <w:t>Deemed dividend to Series A-3 shares</w:t>
            </w:r>
          </w:p>
        </w:tc>
        <w:tc>
          <w:tcPr>
            <w:tcW w:w="300" w:type="dxa"/>
            <w:vAlign w:val="bottom"/>
          </w:tcPr>
          <w:p>
            <w:pPr>
              <w:spacing w:after="0"/>
              <w:rPr>
                <w:sz w:val="18"/>
                <w:szCs w:val="18"/>
                <w:color w:val="auto"/>
              </w:rPr>
            </w:pPr>
          </w:p>
        </w:tc>
        <w:tc>
          <w:tcPr>
            <w:tcW w:w="2200" w:type="dxa"/>
            <w:vAlign w:val="bottom"/>
            <w:gridSpan w:val="2"/>
          </w:tcPr>
          <w:p>
            <w:pPr>
              <w:jc w:val="right"/>
              <w:ind w:right="1140"/>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Deemed dividend to Series B shares</w:t>
            </w: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(4,882)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tcPr>
          <w:p>
            <w:pPr>
              <w:spacing w:after="0"/>
              <w:rPr>
                <w:sz w:val="20"/>
                <w:szCs w:val="20"/>
                <w:color w:val="auto"/>
              </w:rPr>
            </w:pPr>
            <w:r>
              <w:rPr>
                <w:rFonts w:ascii="Arial" w:cs="Arial" w:eastAsia="Arial" w:hAnsi="Arial"/>
                <w:sz w:val="18"/>
                <w:szCs w:val="18"/>
                <w:color w:val="auto"/>
              </w:rPr>
              <w:t>Deemed dividend to Series C shares</w:t>
            </w:r>
          </w:p>
        </w:tc>
        <w:tc>
          <w:tcPr>
            <w:tcW w:w="300" w:type="dxa"/>
            <w:vAlign w:val="bottom"/>
          </w:tcPr>
          <w:p>
            <w:pPr>
              <w:spacing w:after="0"/>
              <w:rPr>
                <w:sz w:val="18"/>
                <w:szCs w:val="18"/>
                <w:color w:val="auto"/>
              </w:rPr>
            </w:pPr>
          </w:p>
        </w:tc>
        <w:tc>
          <w:tcPr>
            <w:tcW w:w="22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Deemed dividend to Series D shares</w:t>
            </w: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tcPr>
          <w:p>
            <w:pPr>
              <w:spacing w:after="0"/>
              <w:rPr>
                <w:sz w:val="20"/>
                <w:szCs w:val="20"/>
                <w:color w:val="auto"/>
              </w:rPr>
            </w:pPr>
            <w:r>
              <w:rPr>
                <w:rFonts w:ascii="Arial" w:cs="Arial" w:eastAsia="Arial" w:hAnsi="Arial"/>
                <w:sz w:val="18"/>
                <w:szCs w:val="18"/>
                <w:color w:val="auto"/>
              </w:rPr>
              <w:t>Undistributed earnings allocated to Series A shares</w:t>
            </w:r>
          </w:p>
        </w:tc>
        <w:tc>
          <w:tcPr>
            <w:tcW w:w="300" w:type="dxa"/>
            <w:vAlign w:val="bottom"/>
          </w:tcPr>
          <w:p>
            <w:pPr>
              <w:spacing w:after="0"/>
              <w:rPr>
                <w:sz w:val="18"/>
                <w:szCs w:val="18"/>
                <w:color w:val="auto"/>
              </w:rPr>
            </w:pPr>
          </w:p>
        </w:tc>
        <w:tc>
          <w:tcPr>
            <w:tcW w:w="22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Undistributed earnings allocated to Series B shares</w:t>
            </w: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tcPr>
          <w:p>
            <w:pPr>
              <w:spacing w:after="0"/>
              <w:rPr>
                <w:sz w:val="20"/>
                <w:szCs w:val="20"/>
                <w:color w:val="auto"/>
              </w:rPr>
            </w:pPr>
            <w:r>
              <w:rPr>
                <w:rFonts w:ascii="Arial" w:cs="Arial" w:eastAsia="Arial" w:hAnsi="Arial"/>
                <w:sz w:val="18"/>
                <w:szCs w:val="18"/>
                <w:color w:val="auto"/>
              </w:rPr>
              <w:t>Undistributed earnings allocated to Series C shares</w:t>
            </w:r>
          </w:p>
        </w:tc>
        <w:tc>
          <w:tcPr>
            <w:tcW w:w="300" w:type="dxa"/>
            <w:vAlign w:val="bottom"/>
          </w:tcPr>
          <w:p>
            <w:pPr>
              <w:spacing w:after="0"/>
              <w:rPr>
                <w:sz w:val="18"/>
                <w:szCs w:val="18"/>
                <w:color w:val="auto"/>
              </w:rPr>
            </w:pPr>
          </w:p>
        </w:tc>
        <w:tc>
          <w:tcPr>
            <w:tcW w:w="22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Undistributed earnings allocated to Series D shares</w:t>
            </w: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tcPr>
          <w:p>
            <w:pPr>
              <w:spacing w:after="0" w:line="201" w:lineRule="exact"/>
              <w:rPr>
                <w:sz w:val="20"/>
                <w:szCs w:val="20"/>
                <w:color w:val="auto"/>
              </w:rPr>
            </w:pPr>
            <w:r>
              <w:rPr>
                <w:rFonts w:ascii="Arial" w:cs="Arial" w:eastAsia="Arial" w:hAnsi="Arial"/>
                <w:sz w:val="18"/>
                <w:szCs w:val="18"/>
                <w:color w:val="auto"/>
              </w:rPr>
              <w:t>Undistributed earnings allocated to participating nonvested restricted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6240" w:type="dxa"/>
            <w:vAlign w:val="bottom"/>
            <w:gridSpan w:val="4"/>
          </w:tcPr>
          <w:p>
            <w:pPr>
              <w:ind w:left="180"/>
              <w:spacing w:after="0"/>
              <w:rPr>
                <w:sz w:val="20"/>
                <w:szCs w:val="20"/>
                <w:color w:val="auto"/>
              </w:rPr>
            </w:pPr>
            <w:r>
              <w:rPr>
                <w:rFonts w:ascii="Arial" w:cs="Arial" w:eastAsia="Arial" w:hAnsi="Arial"/>
                <w:sz w:val="18"/>
                <w:szCs w:val="18"/>
                <w:color w:val="auto"/>
              </w:rPr>
              <w:t>shares (As restated) (Note i)</w:t>
            </w:r>
          </w:p>
        </w:tc>
        <w:tc>
          <w:tcPr>
            <w:tcW w:w="300" w:type="dxa"/>
            <w:vAlign w:val="bottom"/>
          </w:tcPr>
          <w:p>
            <w:pPr>
              <w:spacing w:after="0"/>
              <w:rPr>
                <w:sz w:val="20"/>
                <w:szCs w:val="20"/>
                <w:color w:val="auto"/>
              </w:rPr>
            </w:pPr>
          </w:p>
        </w:tc>
        <w:tc>
          <w:tcPr>
            <w:tcW w:w="22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Net loss attributed to ordinary shareholders for computing net loss per</w:t>
            </w: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ordinary share-basic and diluted (As restated) (Note i)</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(11,899)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(72,554)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40" w:type="dxa"/>
            <w:vAlign w:val="bottom"/>
            <w:gridSpan w:val="4"/>
            <w:vMerge w:val="restart"/>
          </w:tcPr>
          <w:p>
            <w:pPr>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0" w:type="dxa"/>
            <w:vAlign w:val="bottom"/>
          </w:tcPr>
          <w:p>
            <w:pPr>
              <w:spacing w:after="0"/>
              <w:rPr>
                <w:sz w:val="14"/>
                <w:szCs w:val="14"/>
                <w:color w:val="auto"/>
              </w:rPr>
            </w:pPr>
          </w:p>
        </w:tc>
        <w:tc>
          <w:tcPr>
            <w:tcW w:w="62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Denominator for computing net loss per share-basic:</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tcPr>
          <w:p>
            <w:pPr>
              <w:spacing w:after="0" w:line="201" w:lineRule="exact"/>
              <w:rPr>
                <w:sz w:val="20"/>
                <w:szCs w:val="20"/>
                <w:color w:val="auto"/>
              </w:rPr>
            </w:pPr>
            <w:r>
              <w:rPr>
                <w:rFonts w:ascii="Arial" w:cs="Arial" w:eastAsia="Arial" w:hAnsi="Arial"/>
                <w:sz w:val="18"/>
                <w:szCs w:val="18"/>
                <w:color w:val="auto"/>
              </w:rPr>
              <w:t>Weighted average ordinary shares outstanding used in computing net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tcPr>
          <w:p>
            <w:pPr>
              <w:ind w:left="180"/>
              <w:spacing w:after="0"/>
              <w:rPr>
                <w:sz w:val="20"/>
                <w:szCs w:val="20"/>
                <w:color w:val="auto"/>
              </w:rPr>
            </w:pPr>
            <w:r>
              <w:rPr>
                <w:rFonts w:ascii="Arial" w:cs="Arial" w:eastAsia="Arial" w:hAnsi="Arial"/>
                <w:sz w:val="18"/>
                <w:szCs w:val="18"/>
                <w:color w:val="auto"/>
              </w:rPr>
              <w:t>loss per ordinary share-basic</w:t>
            </w:r>
          </w:p>
        </w:tc>
        <w:tc>
          <w:tcPr>
            <w:tcW w:w="300" w:type="dxa"/>
            <w:vAlign w:val="bottom"/>
          </w:tcPr>
          <w:p>
            <w:pPr>
              <w:spacing w:after="0"/>
              <w:rPr>
                <w:sz w:val="20"/>
                <w:szCs w:val="20"/>
                <w:color w:val="auto"/>
              </w:rPr>
            </w:pPr>
          </w:p>
        </w:tc>
        <w:tc>
          <w:tcPr>
            <w:tcW w:w="2200" w:type="dxa"/>
            <w:vAlign w:val="bottom"/>
            <w:gridSpan w:val="2"/>
          </w:tcPr>
          <w:p>
            <w:pPr>
              <w:jc w:val="right"/>
              <w:ind w:right="1200"/>
              <w:spacing w:after="0"/>
              <w:rPr>
                <w:sz w:val="20"/>
                <w:szCs w:val="20"/>
                <w:color w:val="auto"/>
              </w:rPr>
            </w:pPr>
            <w:r>
              <w:rPr>
                <w:rFonts w:ascii="Arial" w:cs="Arial" w:eastAsia="Arial" w:hAnsi="Arial"/>
                <w:sz w:val="18"/>
                <w:szCs w:val="18"/>
                <w:color w:val="auto"/>
              </w:rPr>
              <w:t>62,562,500</w:t>
            </w: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77,749,511</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in computing net loss per participating</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nonvested restricted share</w:t>
            </w:r>
          </w:p>
        </w:tc>
        <w:tc>
          <w:tcPr>
            <w:tcW w:w="30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84,437,500</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60,020,065</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tcPr>
          <w:p>
            <w:pPr>
              <w:spacing w:after="0" w:line="201" w:lineRule="exact"/>
              <w:rPr>
                <w:sz w:val="20"/>
                <w:szCs w:val="20"/>
                <w:color w:val="auto"/>
              </w:rPr>
            </w:pPr>
            <w:r>
              <w:rPr>
                <w:rFonts w:ascii="Arial" w:cs="Arial" w:eastAsia="Arial" w:hAnsi="Arial"/>
                <w:sz w:val="18"/>
                <w:szCs w:val="18"/>
                <w:color w:val="auto"/>
              </w:rPr>
              <w:t>Weighted average shares used in computing net income per Series A-1</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tcPr>
          <w:p>
            <w:pPr>
              <w:ind w:left="180"/>
              <w:spacing w:after="0"/>
              <w:rPr>
                <w:sz w:val="20"/>
                <w:szCs w:val="20"/>
                <w:color w:val="auto"/>
              </w:rPr>
            </w:pPr>
            <w:r>
              <w:rPr>
                <w:rFonts w:ascii="Arial" w:cs="Arial" w:eastAsia="Arial" w:hAnsi="Arial"/>
                <w:sz w:val="18"/>
                <w:szCs w:val="18"/>
                <w:color w:val="auto"/>
              </w:rPr>
              <w:t>and Series A-2 share</w:t>
            </w:r>
          </w:p>
        </w:tc>
        <w:tc>
          <w:tcPr>
            <w:tcW w:w="300" w:type="dxa"/>
            <w:vAlign w:val="bottom"/>
          </w:tcPr>
          <w:p>
            <w:pPr>
              <w:spacing w:after="0"/>
              <w:rPr>
                <w:sz w:val="20"/>
                <w:szCs w:val="20"/>
                <w:color w:val="auto"/>
              </w:rPr>
            </w:pPr>
          </w:p>
        </w:tc>
        <w:tc>
          <w:tcPr>
            <w:tcW w:w="2200" w:type="dxa"/>
            <w:vAlign w:val="bottom"/>
            <w:gridSpan w:val="2"/>
          </w:tcPr>
          <w:p>
            <w:pPr>
              <w:jc w:val="right"/>
              <w:ind w:right="1200"/>
              <w:spacing w:after="0"/>
              <w:rPr>
                <w:sz w:val="20"/>
                <w:szCs w:val="20"/>
                <w:color w:val="auto"/>
              </w:rPr>
            </w:pPr>
            <w:r>
              <w:rPr>
                <w:rFonts w:ascii="Arial" w:cs="Arial" w:eastAsia="Arial" w:hAnsi="Arial"/>
                <w:sz w:val="18"/>
                <w:szCs w:val="18"/>
                <w:color w:val="auto"/>
              </w:rPr>
              <w:t>39,145,251</w:t>
            </w: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34,176,223</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in computing net income per Series A-3</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30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19,797,980</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19,797,980</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tcPr>
          <w:p>
            <w:pPr>
              <w:spacing w:after="0" w:line="201" w:lineRule="exact"/>
              <w:rPr>
                <w:sz w:val="20"/>
                <w:szCs w:val="20"/>
                <w:color w:val="auto"/>
              </w:rPr>
            </w:pPr>
            <w:r>
              <w:rPr>
                <w:rFonts w:ascii="Arial" w:cs="Arial" w:eastAsia="Arial" w:hAnsi="Arial"/>
                <w:sz w:val="18"/>
                <w:szCs w:val="18"/>
                <w:color w:val="auto"/>
              </w:rPr>
              <w:t>Weighted average shares used in computing net income per Series B</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tcPr>
          <w:p>
            <w:pPr>
              <w:ind w:left="180"/>
              <w:spacing w:after="0"/>
              <w:rPr>
                <w:sz w:val="20"/>
                <w:szCs w:val="20"/>
                <w:color w:val="auto"/>
              </w:rPr>
            </w:pPr>
            <w:r>
              <w:rPr>
                <w:rFonts w:ascii="Arial" w:cs="Arial" w:eastAsia="Arial" w:hAnsi="Arial"/>
                <w:sz w:val="18"/>
                <w:szCs w:val="18"/>
                <w:color w:val="auto"/>
              </w:rPr>
              <w:t>share</w:t>
            </w:r>
          </w:p>
        </w:tc>
        <w:tc>
          <w:tcPr>
            <w:tcW w:w="300" w:type="dxa"/>
            <w:vAlign w:val="bottom"/>
          </w:tcPr>
          <w:p>
            <w:pPr>
              <w:spacing w:after="0"/>
              <w:rPr>
                <w:sz w:val="20"/>
                <w:szCs w:val="20"/>
                <w:color w:val="auto"/>
              </w:rPr>
            </w:pPr>
          </w:p>
        </w:tc>
        <w:tc>
          <w:tcPr>
            <w:tcW w:w="2200" w:type="dxa"/>
            <w:vAlign w:val="bottom"/>
            <w:gridSpan w:val="2"/>
          </w:tcPr>
          <w:p>
            <w:pPr>
              <w:jc w:val="right"/>
              <w:ind w:right="1200"/>
              <w:spacing w:after="0"/>
              <w:rPr>
                <w:sz w:val="20"/>
                <w:szCs w:val="20"/>
                <w:color w:val="auto"/>
              </w:rPr>
            </w:pPr>
            <w:r>
              <w:rPr>
                <w:rFonts w:ascii="Arial" w:cs="Arial" w:eastAsia="Arial" w:hAnsi="Arial"/>
                <w:sz w:val="18"/>
                <w:szCs w:val="18"/>
                <w:color w:val="auto"/>
              </w:rPr>
              <w:t>69,372,439</w:t>
            </w: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70,037,013</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in computing net income per Series C</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30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36,008,642</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tcPr>
          <w:p>
            <w:pPr>
              <w:spacing w:after="0" w:line="201" w:lineRule="exact"/>
              <w:rPr>
                <w:sz w:val="20"/>
                <w:szCs w:val="20"/>
                <w:color w:val="auto"/>
              </w:rPr>
            </w:pPr>
            <w:r>
              <w:rPr>
                <w:rFonts w:ascii="Arial" w:cs="Arial" w:eastAsia="Arial" w:hAnsi="Arial"/>
                <w:sz w:val="18"/>
                <w:szCs w:val="18"/>
                <w:color w:val="auto"/>
              </w:rPr>
              <w:t>Weighted average shares used in computing net income per Series 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tcPr>
          <w:p>
            <w:pPr>
              <w:ind w:left="180"/>
              <w:spacing w:after="0"/>
              <w:rPr>
                <w:sz w:val="20"/>
                <w:szCs w:val="20"/>
                <w:color w:val="auto"/>
              </w:rPr>
            </w:pPr>
            <w:r>
              <w:rPr>
                <w:rFonts w:ascii="Arial" w:cs="Arial" w:eastAsia="Arial" w:hAnsi="Arial"/>
                <w:sz w:val="18"/>
                <w:szCs w:val="18"/>
                <w:color w:val="auto"/>
              </w:rPr>
              <w:t>share</w:t>
            </w:r>
          </w:p>
        </w:tc>
        <w:tc>
          <w:tcPr>
            <w:tcW w:w="300" w:type="dxa"/>
            <w:vAlign w:val="bottom"/>
          </w:tcPr>
          <w:p>
            <w:pPr>
              <w:spacing w:after="0"/>
              <w:rPr>
                <w:sz w:val="20"/>
                <w:szCs w:val="20"/>
                <w:color w:val="auto"/>
              </w:rPr>
            </w:pPr>
          </w:p>
        </w:tc>
        <w:tc>
          <w:tcPr>
            <w:tcW w:w="22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25,767,877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Denominator for computing net loss per share-diluted: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tcPr>
          <w:p>
            <w:pPr>
              <w:spacing w:after="0" w:line="201" w:lineRule="exact"/>
              <w:rPr>
                <w:sz w:val="20"/>
                <w:szCs w:val="20"/>
                <w:color w:val="auto"/>
              </w:rPr>
            </w:pPr>
            <w:r>
              <w:rPr>
                <w:rFonts w:ascii="Arial" w:cs="Arial" w:eastAsia="Arial" w:hAnsi="Arial"/>
                <w:sz w:val="18"/>
                <w:szCs w:val="18"/>
                <w:color w:val="auto"/>
              </w:rPr>
              <w:t>Weighted average shares outstanding used in computing net loss per</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tcPr>
          <w:p>
            <w:pPr>
              <w:ind w:left="180"/>
              <w:spacing w:after="0"/>
              <w:rPr>
                <w:sz w:val="20"/>
                <w:szCs w:val="20"/>
                <w:color w:val="auto"/>
              </w:rPr>
            </w:pPr>
            <w:r>
              <w:rPr>
                <w:rFonts w:ascii="Arial" w:cs="Arial" w:eastAsia="Arial" w:hAnsi="Arial"/>
                <w:sz w:val="18"/>
                <w:szCs w:val="18"/>
                <w:color w:val="auto"/>
              </w:rPr>
              <w:t>ordinary shares-diluted</w:t>
            </w:r>
          </w:p>
        </w:tc>
        <w:tc>
          <w:tcPr>
            <w:tcW w:w="300" w:type="dxa"/>
            <w:vAlign w:val="bottom"/>
          </w:tcPr>
          <w:p>
            <w:pPr>
              <w:spacing w:after="0"/>
              <w:rPr>
                <w:sz w:val="20"/>
                <w:szCs w:val="20"/>
                <w:color w:val="auto"/>
              </w:rPr>
            </w:pPr>
          </w:p>
        </w:tc>
        <w:tc>
          <w:tcPr>
            <w:tcW w:w="2200" w:type="dxa"/>
            <w:vAlign w:val="bottom"/>
            <w:gridSpan w:val="2"/>
          </w:tcPr>
          <w:p>
            <w:pPr>
              <w:jc w:val="right"/>
              <w:ind w:right="1200"/>
              <w:spacing w:after="0"/>
              <w:rPr>
                <w:sz w:val="20"/>
                <w:szCs w:val="20"/>
                <w:color w:val="auto"/>
              </w:rPr>
            </w:pPr>
            <w:r>
              <w:rPr>
                <w:rFonts w:ascii="Arial" w:cs="Arial" w:eastAsia="Arial" w:hAnsi="Arial"/>
                <w:sz w:val="18"/>
                <w:szCs w:val="18"/>
                <w:color w:val="auto"/>
              </w:rPr>
              <w:t>62,562,500</w:t>
            </w: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77,749,511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Net loss per ordinary share attributable to Momo Inc.-basic (As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restated) (Note i)</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(0.19)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240" w:type="dxa"/>
            <w:vAlign w:val="bottom"/>
            <w:gridSpan w:val="4"/>
          </w:tcPr>
          <w:p>
            <w:pPr>
              <w:spacing w:after="0" w:line="201" w:lineRule="exact"/>
              <w:rPr>
                <w:sz w:val="20"/>
                <w:szCs w:val="20"/>
                <w:color w:val="auto"/>
              </w:rPr>
            </w:pPr>
            <w:r>
              <w:rPr>
                <w:rFonts w:ascii="Arial" w:cs="Arial" w:eastAsia="Arial" w:hAnsi="Arial"/>
                <w:sz w:val="18"/>
                <w:szCs w:val="18"/>
                <w:color w:val="auto"/>
              </w:rPr>
              <w:t>Net income per participating nonvested restricted shares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tcPr>
          <w:p>
            <w:pPr>
              <w:ind w:left="180"/>
              <w:spacing w:after="0"/>
              <w:rPr>
                <w:sz w:val="20"/>
                <w:szCs w:val="20"/>
                <w:color w:val="auto"/>
              </w:rPr>
            </w:pPr>
            <w:r>
              <w:rPr>
                <w:rFonts w:ascii="Arial" w:cs="Arial" w:eastAsia="Arial" w:hAnsi="Arial"/>
                <w:sz w:val="18"/>
                <w:szCs w:val="18"/>
                <w:color w:val="auto"/>
              </w:rPr>
              <w:t>(As restated) (Note i)</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per Series A-1 and Series A-2 shares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tcPr>
          <w:p>
            <w:pPr>
              <w:spacing w:after="0"/>
              <w:rPr>
                <w:sz w:val="20"/>
                <w:szCs w:val="20"/>
                <w:color w:val="auto"/>
              </w:rPr>
            </w:pPr>
            <w:r>
              <w:rPr>
                <w:rFonts w:ascii="Arial" w:cs="Arial" w:eastAsia="Arial" w:hAnsi="Arial"/>
                <w:sz w:val="18"/>
                <w:szCs w:val="18"/>
                <w:color w:val="auto"/>
              </w:rPr>
              <w:t>Net income per Series A-3 shares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200"/>
              <w:spacing w:after="0"/>
              <w:rPr>
                <w:sz w:val="20"/>
                <w:szCs w:val="20"/>
                <w:color w:val="auto"/>
              </w:rPr>
            </w:pPr>
            <w:r>
              <w:rPr>
                <w:rFonts w:ascii="Arial" w:cs="Arial" w:eastAsia="Arial" w:hAnsi="Arial"/>
                <w:sz w:val="18"/>
                <w:szCs w:val="18"/>
                <w:color w:val="auto"/>
              </w:rPr>
              <w:t>0.02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per Series B shares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tcPr>
          <w:p>
            <w:pPr>
              <w:spacing w:after="0"/>
              <w:rPr>
                <w:sz w:val="20"/>
                <w:szCs w:val="20"/>
                <w:color w:val="auto"/>
              </w:rPr>
            </w:pPr>
            <w:r>
              <w:rPr>
                <w:rFonts w:ascii="Arial" w:cs="Arial" w:eastAsia="Arial" w:hAnsi="Arial"/>
                <w:sz w:val="18"/>
                <w:szCs w:val="18"/>
                <w:color w:val="auto"/>
              </w:rPr>
              <w:t>Net income per Series C shares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per Series D shares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40" w:type="dxa"/>
            <w:vAlign w:val="bottom"/>
            <w:gridSpan w:val="4"/>
            <w:vMerge w:val="restart"/>
          </w:tcPr>
          <w:p>
            <w:pPr>
              <w:spacing w:after="0"/>
              <w:rPr>
                <w:sz w:val="20"/>
                <w:szCs w:val="20"/>
                <w:color w:val="auto"/>
              </w:rPr>
            </w:pPr>
            <w:r>
              <w:rPr>
                <w:rFonts w:ascii="Arial" w:cs="Arial" w:eastAsia="Arial" w:hAnsi="Arial"/>
                <w:sz w:val="18"/>
                <w:szCs w:val="18"/>
                <w:color w:val="auto"/>
              </w:rPr>
              <w:t>Net loss per ordinary share attributable to Momo Inc.-diluted (As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4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240" w:type="dxa"/>
            <w:vAlign w:val="bottom"/>
            <w:gridSpan w:val="4"/>
          </w:tcPr>
          <w:p>
            <w:pPr>
              <w:ind w:left="180"/>
              <w:spacing w:after="0"/>
              <w:rPr>
                <w:sz w:val="20"/>
                <w:szCs w:val="20"/>
                <w:color w:val="auto"/>
              </w:rPr>
            </w:pPr>
            <w:r>
              <w:rPr>
                <w:rFonts w:ascii="Arial" w:cs="Arial" w:eastAsia="Arial" w:hAnsi="Arial"/>
                <w:sz w:val="18"/>
                <w:szCs w:val="18"/>
                <w:color w:val="auto"/>
              </w:rPr>
              <w:t>restated) (Note i)</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140"/>
              <w:spacing w:after="0"/>
              <w:rPr>
                <w:sz w:val="20"/>
                <w:szCs w:val="20"/>
                <w:color w:val="auto"/>
              </w:rPr>
            </w:pPr>
            <w:r>
              <w:rPr>
                <w:rFonts w:ascii="Arial" w:cs="Arial" w:eastAsia="Arial" w:hAnsi="Arial"/>
                <w:sz w:val="18"/>
                <w:szCs w:val="18"/>
                <w:color w:val="auto"/>
              </w:rPr>
              <w:t>(0.19)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40" w:hanging="661"/>
        <w:spacing w:after="0" w:line="253" w:lineRule="auto"/>
        <w:tabs>
          <w:tab w:leader="none" w:pos="820" w:val="left"/>
        </w:tabs>
        <w:rPr>
          <w:sz w:val="20"/>
          <w:szCs w:val="20"/>
          <w:color w:val="auto"/>
        </w:rPr>
      </w:pPr>
      <w:r>
        <w:rPr>
          <w:rFonts w:ascii="Arial" w:cs="Arial" w:eastAsia="Arial" w:hAnsi="Arial"/>
          <w:sz w:val="14"/>
          <w:szCs w:val="14"/>
          <w:color w:val="auto"/>
        </w:rPr>
        <w:t>Note i:</w:t>
      </w:r>
      <w:r>
        <w:rPr>
          <w:sz w:val="20"/>
          <w:szCs w:val="20"/>
          <w:color w:val="auto"/>
        </w:rPr>
        <w:tab/>
      </w:r>
      <w:r>
        <w:rPr>
          <w:rFonts w:ascii="Arial" w:cs="Arial" w:eastAsia="Arial" w:hAnsi="Arial"/>
          <w:sz w:val="14"/>
          <w:szCs w:val="14"/>
          <w:color w:val="auto"/>
        </w:rPr>
        <w:t>The Company has restated the basic and diluted net loss per ordinary share to allocate all net losses to the ordinary shares, as the restricted shares do not contain a contractual obligation to fund losses for each of the nine-month periods ended September 30, 2013 and 2014.</w:t>
      </w:r>
    </w:p>
    <w:p>
      <w:pPr>
        <w:sectPr>
          <w:pgSz w:w="11900" w:h="16838" w:orient="portrait"/>
          <w:cols w:equalWidth="0" w:num="1">
            <w:col w:w="10840"/>
          </w:cols>
          <w:pgMar w:left="240" w:top="460" w:right="819" w:bottom="1440" w:gutter="0" w:footer="0" w:header="0"/>
        </w:sect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F-74</w:t>
      </w:r>
    </w:p>
    <w:p>
      <w:pPr>
        <w:sectPr>
          <w:pgSz w:w="11900" w:h="16838" w:orient="portrait"/>
          <w:cols w:equalWidth="0" w:num="1">
            <w:col w:w="10840"/>
          </w:cols>
          <w:pgMar w:left="240" w:top="460" w:right="819" w:bottom="1440" w:gutter="0" w:footer="0" w:header="0"/>
          <w:type w:val="continuous"/>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500" w:right="232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 continued</w:t>
      </w:r>
    </w:p>
    <w:p>
      <w:pPr>
        <w:spacing w:after="0" w:line="337"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following table summarizes potential ordinary shares outstanding excluded from the computation of diluted net loss per ordinary share for the nine-month periods ended September 30, 2013 and 2014, because their effect is anti-dilutive:</w:t>
      </w:r>
    </w:p>
    <w:p>
      <w:pPr>
        <w:spacing w:after="0" w:line="193" w:lineRule="exact"/>
        <w:rPr>
          <w:sz w:val="20"/>
          <w:szCs w:val="20"/>
          <w:color w:val="auto"/>
        </w:rPr>
      </w:pPr>
    </w:p>
    <w:p>
      <w:pPr>
        <w:jc w:val="center"/>
        <w:ind w:left="8060"/>
        <w:spacing w:after="0"/>
        <w:rPr>
          <w:sz w:val="20"/>
          <w:szCs w:val="20"/>
          <w:color w:val="auto"/>
        </w:rPr>
      </w:pPr>
      <w:r>
        <w:rPr>
          <w:rFonts w:ascii="Arial" w:cs="Arial" w:eastAsia="Arial" w:hAnsi="Arial"/>
          <w:sz w:val="14"/>
          <w:szCs w:val="14"/>
          <w:color w:val="auto"/>
        </w:rPr>
        <w:t>For the nine-month periods</w:t>
      </w:r>
    </w:p>
    <w:p>
      <w:pPr>
        <w:jc w:val="center"/>
        <w:ind w:left="8060"/>
        <w:spacing w:after="0" w:line="231" w:lineRule="auto"/>
        <w:rPr>
          <w:sz w:val="20"/>
          <w:szCs w:val="20"/>
          <w:color w:val="auto"/>
        </w:rPr>
      </w:pPr>
      <w:r>
        <w:rPr>
          <w:rFonts w:ascii="Arial" w:cs="Arial" w:eastAsia="Arial" w:hAnsi="Arial"/>
          <w:sz w:val="14"/>
          <w:szCs w:val="14"/>
          <w:color w:val="auto"/>
        </w:rPr>
        <w:t>ended September 30,</w:t>
      </w:r>
    </w:p>
    <w:tbl>
      <w:tblPr>
        <w:tblLayout w:type="fixed"/>
        <w:tblInd w:w="620" w:type="dxa"/>
        <w:tblCellMar>
          <w:top w:w="0" w:type="dxa"/>
          <w:left w:w="0" w:type="dxa"/>
          <w:bottom w:w="0" w:type="dxa"/>
          <w:right w:w="0" w:type="dxa"/>
        </w:tblCellMar>
      </w:tblPr>
      <w:tr>
        <w:trPr>
          <w:trHeight w:val="142"/>
        </w:trPr>
        <w:tc>
          <w:tcPr>
            <w:tcW w:w="8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Share issuable upon exercise of share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5,391,223</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23,455,123</w:t>
            </w:r>
          </w:p>
        </w:tc>
        <w:tc>
          <w:tcPr>
            <w:tcW w:w="100" w:type="dxa"/>
            <w:vAlign w:val="bottom"/>
            <w:shd w:val="clear" w:color="auto" w:fill="CCEEFF"/>
          </w:tcPr>
          <w:p>
            <w:pPr>
              <w:spacing w:after="0"/>
              <w:rPr>
                <w:sz w:val="17"/>
                <w:szCs w:val="17"/>
                <w:color w:val="auto"/>
              </w:rPr>
            </w:pPr>
          </w:p>
        </w:tc>
      </w:tr>
      <w:tr>
        <w:trPr>
          <w:trHeight w:val="203"/>
        </w:trPr>
        <w:tc>
          <w:tcPr>
            <w:tcW w:w="8140" w:type="dxa"/>
            <w:vAlign w:val="bottom"/>
          </w:tcPr>
          <w:p>
            <w:pPr>
              <w:spacing w:after="0"/>
              <w:rPr>
                <w:sz w:val="20"/>
                <w:szCs w:val="20"/>
                <w:color w:val="auto"/>
              </w:rPr>
            </w:pPr>
            <w:r>
              <w:rPr>
                <w:rFonts w:ascii="Arial" w:cs="Arial" w:eastAsia="Arial" w:hAnsi="Arial"/>
                <w:sz w:val="16"/>
                <w:szCs w:val="16"/>
                <w:color w:val="auto"/>
              </w:rPr>
              <w:t>Share issuable upon vesting of nonvested restricted shares (As restated) (Note i)</w:t>
            </w:r>
          </w:p>
        </w:tc>
        <w:tc>
          <w:tcPr>
            <w:tcW w:w="1120" w:type="dxa"/>
            <w:vAlign w:val="bottom"/>
            <w:gridSpan w:val="2"/>
          </w:tcPr>
          <w:p>
            <w:pPr>
              <w:jc w:val="right"/>
              <w:ind w:right="300"/>
              <w:spacing w:after="0"/>
              <w:rPr>
                <w:sz w:val="20"/>
                <w:szCs w:val="20"/>
                <w:color w:val="auto"/>
              </w:rPr>
            </w:pPr>
            <w:r>
              <w:rPr>
                <w:rFonts w:ascii="Arial" w:cs="Arial" w:eastAsia="Arial" w:hAnsi="Arial"/>
                <w:sz w:val="17"/>
                <w:szCs w:val="17"/>
                <w:color w:val="auto"/>
                <w:w w:val="93"/>
              </w:rPr>
              <w:t>84,437,500</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60,020,065</w:t>
            </w:r>
          </w:p>
        </w:tc>
      </w:tr>
      <w:tr>
        <w:trPr>
          <w:trHeight w:val="203"/>
        </w:trPr>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Share issuable upon conversion of Series A-1 and Series A-2 shares</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39,145,251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34,176,223</w:t>
            </w:r>
          </w:p>
        </w:tc>
      </w:tr>
      <w:tr>
        <w:trPr>
          <w:trHeight w:val="203"/>
        </w:trPr>
        <w:tc>
          <w:tcPr>
            <w:tcW w:w="8140" w:type="dxa"/>
            <w:vAlign w:val="bottom"/>
          </w:tcPr>
          <w:p>
            <w:pPr>
              <w:spacing w:after="0"/>
              <w:rPr>
                <w:sz w:val="20"/>
                <w:szCs w:val="20"/>
                <w:color w:val="auto"/>
              </w:rPr>
            </w:pPr>
            <w:r>
              <w:rPr>
                <w:rFonts w:ascii="Arial" w:cs="Arial" w:eastAsia="Arial" w:hAnsi="Arial"/>
                <w:sz w:val="16"/>
                <w:szCs w:val="16"/>
                <w:color w:val="auto"/>
              </w:rPr>
              <w:t>Share issuable upon conversion of Series A-3 shares</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19,797,980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19,797,980</w:t>
            </w:r>
          </w:p>
        </w:tc>
      </w:tr>
      <w:tr>
        <w:trPr>
          <w:trHeight w:val="203"/>
        </w:trPr>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Share issuable upon conversion of Series B shares</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69,372,439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70,037,013</w:t>
            </w:r>
          </w:p>
        </w:tc>
      </w:tr>
      <w:tr>
        <w:trPr>
          <w:trHeight w:val="203"/>
        </w:trPr>
        <w:tc>
          <w:tcPr>
            <w:tcW w:w="8140" w:type="dxa"/>
            <w:vAlign w:val="bottom"/>
          </w:tcPr>
          <w:p>
            <w:pPr>
              <w:spacing w:after="0"/>
              <w:rPr>
                <w:sz w:val="20"/>
                <w:szCs w:val="20"/>
                <w:color w:val="auto"/>
              </w:rPr>
            </w:pPr>
            <w:r>
              <w:rPr>
                <w:rFonts w:ascii="Arial" w:cs="Arial" w:eastAsia="Arial" w:hAnsi="Arial"/>
                <w:sz w:val="16"/>
                <w:szCs w:val="16"/>
                <w:color w:val="auto"/>
              </w:rPr>
              <w:t>Share issuable upon conversion of Series C shares</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36,008,642</w:t>
            </w:r>
          </w:p>
        </w:tc>
      </w:tr>
      <w:tr>
        <w:trPr>
          <w:trHeight w:val="203"/>
        </w:trPr>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Share issuable upon conversion of Series D shares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25,767,877</w:t>
            </w:r>
          </w:p>
        </w:tc>
      </w:tr>
    </w:tbl>
    <w:p>
      <w:pPr>
        <w:spacing w:after="0" w:line="346" w:lineRule="exact"/>
        <w:rPr>
          <w:sz w:val="20"/>
          <w:szCs w:val="20"/>
          <w:color w:val="auto"/>
        </w:rPr>
      </w:pPr>
    </w:p>
    <w:p>
      <w:pPr>
        <w:ind w:left="620" w:right="7100" w:hanging="441"/>
        <w:spacing w:after="0" w:line="378" w:lineRule="auto"/>
        <w:tabs>
          <w:tab w:leader="none" w:pos="61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Lease commitment</w:t>
      </w:r>
    </w:p>
    <w:p>
      <w:pPr>
        <w:ind w:left="62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leases certain office premises under non-cancellable leases. These leases expire through 2017 and are renewable upon negotiation. Rental expenses under operating leases for the nine-month periods ended September 30, 2013 and September 30, 2014 were $ 659 and $2,205, respectively.</w:t>
      </w:r>
    </w:p>
    <w:p>
      <w:pPr>
        <w:spacing w:after="0" w:line="73"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Future minimum payments under non-cancellable operating leases as of September 30, 2014 were as follows:</w:t>
      </w:r>
    </w:p>
    <w:p>
      <w:pPr>
        <w:spacing w:after="0" w:line="263" w:lineRule="exact"/>
        <w:rPr>
          <w:sz w:val="20"/>
          <w:szCs w:val="20"/>
          <w:color w:val="auto"/>
        </w:rPr>
      </w:pPr>
    </w:p>
    <w:tbl>
      <w:tblPr>
        <w:tblLayout w:type="fixed"/>
        <w:tblInd w:w="1960" w:type="dxa"/>
        <w:tblCellMar>
          <w:top w:w="0" w:type="dxa"/>
          <w:left w:w="0" w:type="dxa"/>
          <w:bottom w:w="0" w:type="dxa"/>
          <w:right w:w="0" w:type="dxa"/>
        </w:tblCellMar>
      </w:tblPr>
      <w:tr>
        <w:trPr>
          <w:trHeight w:val="206"/>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10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7"/>
                <w:szCs w:val="17"/>
                <w:color w:val="auto"/>
              </w:rPr>
              <w:t>2015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2,978</w:t>
            </w:r>
          </w:p>
        </w:tc>
        <w:tc>
          <w:tcPr>
            <w:tcW w:w="10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1,192</w:t>
            </w:r>
          </w:p>
        </w:tc>
        <w:tc>
          <w:tcPr>
            <w:tcW w:w="10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7"/>
                <w:szCs w:val="17"/>
                <w:color w:val="auto"/>
              </w:rPr>
              <w:t>2017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2018 and after</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r>
      <w:tr>
        <w:trPr>
          <w:trHeight w:val="210"/>
        </w:trPr>
        <w:tc>
          <w:tcPr>
            <w:tcW w:w="6940" w:type="dxa"/>
            <w:vAlign w:val="bottom"/>
          </w:tcPr>
          <w:p>
            <w:pPr>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5,042</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Contingencies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were no material contingencies noted for the nine-month periods ended September 30, 2013 and 2014.</w:t>
      </w:r>
    </w:p>
    <w:p>
      <w:pPr>
        <w:spacing w:after="0" w:line="370" w:lineRule="exact"/>
        <w:rPr>
          <w:sz w:val="20"/>
          <w:szCs w:val="20"/>
          <w:color w:val="auto"/>
        </w:rPr>
      </w:pPr>
    </w:p>
    <w:p>
      <w:pPr>
        <w:ind w:left="620" w:right="6120" w:hanging="441"/>
        <w:spacing w:after="0" w:line="445" w:lineRule="auto"/>
        <w:tabs>
          <w:tab w:leader="none" w:pos="610"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BALANCES AND TRANSACTIONS </w:t>
      </w:r>
      <w:r>
        <w:rPr>
          <w:rFonts w:ascii="Arial" w:cs="Arial" w:eastAsia="Arial" w:hAnsi="Arial"/>
          <w:sz w:val="17"/>
          <w:szCs w:val="17"/>
          <w:color w:val="auto"/>
        </w:rPr>
        <w:t>Amount due from a related party of the Group:</w:t>
      </w:r>
    </w:p>
    <w:p>
      <w:pPr>
        <w:spacing w:after="0" w:line="46"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color w:val="auto"/>
              </w:rPr>
              <w:t>As of</w:t>
            </w:r>
          </w:p>
        </w:tc>
        <w:tc>
          <w:tcPr>
            <w:tcW w:w="1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As of</w:t>
            </w:r>
          </w:p>
        </w:tc>
      </w:tr>
      <w:tr>
        <w:trPr>
          <w:trHeight w:val="149"/>
        </w:trPr>
        <w:tc>
          <w:tcPr>
            <w:tcW w:w="5660" w:type="dxa"/>
            <w:vAlign w:val="bottom"/>
          </w:tcPr>
          <w:p>
            <w:pPr>
              <w:spacing w:after="0"/>
              <w:rPr>
                <w:sz w:val="12"/>
                <w:szCs w:val="12"/>
                <w:color w:val="auto"/>
              </w:rPr>
            </w:pPr>
          </w:p>
        </w:tc>
        <w:tc>
          <w:tcPr>
            <w:tcW w:w="18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w w:val="97"/>
              </w:rPr>
              <w:t>September 30,</w:t>
            </w:r>
          </w:p>
        </w:tc>
      </w:tr>
      <w:tr>
        <w:trPr>
          <w:trHeight w:val="167"/>
        </w:trPr>
        <w:tc>
          <w:tcPr>
            <w:tcW w:w="5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2013</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2014</w:t>
            </w:r>
          </w:p>
        </w:tc>
        <w:tc>
          <w:tcPr>
            <w:tcW w:w="80" w:type="dxa"/>
            <w:vAlign w:val="bottom"/>
            <w:tcBorders>
              <w:bottom w:val="single" w:sz="8" w:color="CCEEFF"/>
            </w:tcBorders>
          </w:tcPr>
          <w:p>
            <w:pPr>
              <w:spacing w:after="0"/>
              <w:rPr>
                <w:sz w:val="14"/>
                <w:szCs w:val="14"/>
                <w:color w:val="auto"/>
              </w:rPr>
            </w:pPr>
          </w:p>
        </w:tc>
      </w:tr>
      <w:tr>
        <w:trPr>
          <w:trHeight w:val="183"/>
        </w:trPr>
        <w:tc>
          <w:tcPr>
            <w:tcW w:w="56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Amount due from a related party-current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5660" w:type="dxa"/>
            <w:vAlign w:val="bottom"/>
          </w:tcPr>
          <w:p>
            <w:pPr>
              <w:ind w:left="360"/>
              <w:spacing w:after="0"/>
              <w:rPr>
                <w:sz w:val="20"/>
                <w:szCs w:val="20"/>
                <w:color w:val="auto"/>
              </w:rPr>
            </w:pPr>
            <w:r>
              <w:rPr>
                <w:rFonts w:ascii="Arial" w:cs="Arial" w:eastAsia="Arial" w:hAnsi="Arial"/>
                <w:sz w:val="17"/>
                <w:szCs w:val="17"/>
                <w:color w:val="auto"/>
              </w:rPr>
              <w:t>Amount due from an ordinary shareholder</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640" w:type="dxa"/>
            <w:vAlign w:val="bottom"/>
            <w:gridSpan w:val="2"/>
          </w:tcPr>
          <w:p>
            <w:pPr>
              <w:ind w:left="380"/>
              <w:spacing w:after="0"/>
              <w:rPr>
                <w:sz w:val="20"/>
                <w:szCs w:val="20"/>
                <w:color w:val="auto"/>
              </w:rPr>
            </w:pPr>
            <w:r>
              <w:rPr>
                <w:rFonts w:ascii="Arial" w:cs="Arial" w:eastAsia="Arial" w:hAnsi="Arial"/>
                <w:sz w:val="17"/>
                <w:szCs w:val="17"/>
                <w:color w:val="auto"/>
              </w:rPr>
              <w:t>198</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center"/>
              <w:ind w:left="161"/>
              <w:spacing w:after="0"/>
              <w:rPr>
                <w:sz w:val="20"/>
                <w:szCs w:val="20"/>
                <w:color w:val="auto"/>
              </w:rPr>
            </w:pPr>
            <w:r>
              <w:rPr>
                <w:rFonts w:ascii="Arial" w:cs="Arial" w:eastAsia="Arial" w:hAnsi="Arial"/>
                <w:sz w:val="17"/>
                <w:szCs w:val="17"/>
                <w:color w:val="auto"/>
              </w:rPr>
              <w:t>—</w:t>
            </w:r>
          </w:p>
        </w:tc>
      </w:tr>
      <w:tr>
        <w:trPr>
          <w:trHeight w:val="20"/>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due to related parties-current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660" w:type="dxa"/>
            <w:vAlign w:val="bottom"/>
          </w:tcPr>
          <w:p>
            <w:pPr>
              <w:ind w:left="360"/>
              <w:spacing w:after="0"/>
              <w:rPr>
                <w:sz w:val="20"/>
                <w:szCs w:val="20"/>
                <w:color w:val="auto"/>
              </w:rPr>
            </w:pPr>
            <w:r>
              <w:rPr>
                <w:rFonts w:ascii="Arial" w:cs="Arial" w:eastAsia="Arial" w:hAnsi="Arial"/>
                <w:sz w:val="17"/>
                <w:szCs w:val="17"/>
                <w:color w:val="auto"/>
              </w:rPr>
              <w:t>Amount due to ordinary shareholders</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64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6,450</w:t>
            </w:r>
          </w:p>
        </w:tc>
      </w:tr>
      <w:tr>
        <w:trPr>
          <w:trHeight w:val="20"/>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200"/>
        <w:spacing w:after="0" w:line="277" w:lineRule="auto"/>
        <w:rPr>
          <w:sz w:val="20"/>
          <w:szCs w:val="20"/>
          <w:color w:val="auto"/>
        </w:rPr>
      </w:pPr>
      <w:r>
        <w:rPr>
          <w:rFonts w:ascii="Arial" w:cs="Arial" w:eastAsia="Arial" w:hAnsi="Arial"/>
          <w:sz w:val="18"/>
          <w:szCs w:val="18"/>
          <w:color w:val="auto"/>
        </w:rPr>
        <w:t>The amount as of December 31, 2013 represents personal loan provided by the Group to Mr. Yan Tang with no interest charges, and it was fully repaid in June 2014.</w:t>
      </w:r>
    </w:p>
    <w:p>
      <w:pPr>
        <w:spacing w:after="0" w:line="62" w:lineRule="exact"/>
        <w:rPr>
          <w:sz w:val="20"/>
          <w:szCs w:val="20"/>
          <w:color w:val="auto"/>
        </w:rPr>
      </w:pPr>
    </w:p>
    <w:p>
      <w:pPr>
        <w:ind w:left="620" w:right="160"/>
        <w:spacing w:after="0" w:line="277" w:lineRule="auto"/>
        <w:rPr>
          <w:sz w:val="20"/>
          <w:szCs w:val="20"/>
          <w:color w:val="auto"/>
        </w:rPr>
      </w:pPr>
      <w:r>
        <w:rPr>
          <w:rFonts w:ascii="Arial" w:cs="Arial" w:eastAsia="Arial" w:hAnsi="Arial"/>
          <w:sz w:val="18"/>
          <w:szCs w:val="18"/>
          <w:color w:val="auto"/>
        </w:rPr>
        <w:t>The amount as of September 30, 2014 represents the unpaid repurchase amount by the Group to its ordinary shareholders. Please refer to Note 9 for repurchase of ordinary shares.</w:t>
      </w:r>
    </w:p>
    <w:p>
      <w:pPr>
        <w:spacing w:after="0" w:line="2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60"/>
          </w:cols>
          <w:pgMar w:left="240" w:top="460"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420" w:right="240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288" w:lineRule="exact"/>
        <w:rPr>
          <w:sz w:val="20"/>
          <w:szCs w:val="20"/>
          <w:color w:val="auto"/>
        </w:rPr>
      </w:pPr>
    </w:p>
    <w:p>
      <w:pPr>
        <w:ind w:left="620" w:hanging="441"/>
        <w:spacing w:after="0"/>
        <w:tabs>
          <w:tab w:leader="none" w:pos="62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6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Group’s chief operating decision maker has been identified as the Chief Executive Officer (“CEO”), who reviews consolidated results when making decisions about allocating resources and assessing performance of the Group. The Group’s revenue and net income are substantially derived from membership subscription services, offering the platform for mobile games developed by third parties and other services, including the use of the paid emoticons and mobile marketing services. But the Group does not have discrete financial information of costs and expenses between various services in its internal reporting, and reports costs and expenses by nature as a whole. Therefore, The Group has one operating segment.</w:t>
      </w:r>
    </w:p>
    <w:p>
      <w:pPr>
        <w:spacing w:after="0" w:line="85" w:lineRule="exact"/>
        <w:rPr>
          <w:rFonts w:ascii="Arial" w:cs="Arial" w:eastAsia="Arial" w:hAnsi="Arial"/>
          <w:sz w:val="18"/>
          <w:szCs w:val="18"/>
          <w:b w:val="1"/>
          <w:bCs w:val="1"/>
          <w:color w:val="auto"/>
        </w:rPr>
      </w:pPr>
    </w:p>
    <w:p>
      <w:pPr>
        <w:ind w:left="62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table below is only presented at the revenue level with no allocations of direct or indirect cost and expenses. The Group operates in the PRC and all of the Group’s long-lived assets are located and services are provided in the PRC.</w:t>
      </w:r>
    </w:p>
    <w:p>
      <w:pPr>
        <w:spacing w:after="0" w:line="62"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Components of revenues are presented in the following table:</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360"/>
              <w:spacing w:after="0"/>
              <w:rPr>
                <w:sz w:val="20"/>
                <w:szCs w:val="20"/>
                <w:color w:val="auto"/>
              </w:rPr>
            </w:pPr>
            <w:r>
              <w:rPr>
                <w:rFonts w:ascii="Arial" w:cs="Arial" w:eastAsia="Arial" w:hAnsi="Arial"/>
                <w:sz w:val="14"/>
                <w:szCs w:val="14"/>
                <w:color w:val="auto"/>
              </w:rPr>
              <w:t>For the nine-month periods</w:t>
            </w:r>
          </w:p>
        </w:tc>
      </w:tr>
      <w:tr>
        <w:trPr>
          <w:trHeight w:val="167"/>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ind w:left="360"/>
              <w:spacing w:after="0"/>
              <w:rPr>
                <w:sz w:val="20"/>
                <w:szCs w:val="20"/>
                <w:color w:val="auto"/>
              </w:rPr>
            </w:pPr>
            <w:r>
              <w:rPr>
                <w:rFonts w:ascii="Arial" w:cs="Arial" w:eastAsia="Arial" w:hAnsi="Arial"/>
                <w:sz w:val="14"/>
                <w:szCs w:val="14"/>
                <w:color w:val="auto"/>
              </w:rPr>
              <w:t>ended September 30,</w:t>
            </w:r>
          </w:p>
        </w:tc>
      </w:tr>
      <w:tr>
        <w:trPr>
          <w:trHeight w:val="142"/>
        </w:trPr>
        <w:tc>
          <w:tcPr>
            <w:tcW w:w="6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2014</w:t>
            </w:r>
          </w:p>
        </w:tc>
        <w:tc>
          <w:tcPr>
            <w:tcW w:w="80" w:type="dxa"/>
            <w:vAlign w:val="bottom"/>
            <w:tcBorders>
              <w:bottom w:val="single" w:sz="8" w:color="CCEEFF"/>
            </w:tcBorders>
          </w:tcPr>
          <w:p>
            <w:pPr>
              <w:spacing w:after="0"/>
              <w:rPr>
                <w:sz w:val="12"/>
                <w:szCs w:val="12"/>
                <w:color w:val="auto"/>
              </w:rPr>
            </w:pPr>
          </w:p>
        </w:tc>
      </w:tr>
      <w:tr>
        <w:trPr>
          <w:trHeight w:val="21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Membership subscription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759</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Mobile games</w:t>
            </w:r>
          </w:p>
        </w:tc>
        <w:tc>
          <w:tcPr>
            <w:tcW w:w="100" w:type="dxa"/>
            <w:vAlign w:val="bottom"/>
          </w:tcPr>
          <w:p>
            <w:pPr>
              <w:spacing w:after="0"/>
              <w:rPr>
                <w:sz w:val="18"/>
                <w:szCs w:val="18"/>
                <w:color w:val="auto"/>
              </w:rPr>
            </w:pPr>
          </w:p>
        </w:tc>
        <w:tc>
          <w:tcPr>
            <w:tcW w:w="11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6,891</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58</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817</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26,205</w:t>
            </w: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620" w:hanging="441"/>
        <w:spacing w:after="0"/>
        <w:tabs>
          <w:tab w:leader="none" w:pos="62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rFonts w:ascii="Arial" w:cs="Arial" w:eastAsia="Arial" w:hAnsi="Arial"/>
          <w:sz w:val="18"/>
          <w:szCs w:val="18"/>
          <w:b w:val="1"/>
          <w:bCs w:val="1"/>
          <w:color w:val="auto"/>
        </w:rPr>
      </w:pPr>
    </w:p>
    <w:p>
      <w:pPr>
        <w:ind w:left="6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Full time employees of the Group in the PRC participate in a government-mandated defined contribution plan pursuant to which certain pension benefits, medical care, unemployment insurance, employee housing fund and other welfare benefits are provided to employees. The Group accrues for these benefits based on certain percentages of the employees’ salaries. The total provisions for such employee benefits were $643 and $1,643 for the nine-month periods ended September 30, 2013 and 2014, respectively.</w:t>
      </w:r>
    </w:p>
    <w:p>
      <w:pPr>
        <w:spacing w:after="0" w:line="331" w:lineRule="exact"/>
        <w:rPr>
          <w:rFonts w:ascii="Arial" w:cs="Arial" w:eastAsia="Arial" w:hAnsi="Arial"/>
          <w:sz w:val="18"/>
          <w:szCs w:val="18"/>
          <w:b w:val="1"/>
          <w:bCs w:val="1"/>
          <w:color w:val="auto"/>
        </w:rPr>
      </w:pPr>
    </w:p>
    <w:p>
      <w:pPr>
        <w:ind w:left="620" w:hanging="441"/>
        <w:spacing w:after="0"/>
        <w:tabs>
          <w:tab w:leader="none" w:pos="62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 AND RESTRICTED NET ASSETS</w:t>
      </w:r>
    </w:p>
    <w:p>
      <w:pPr>
        <w:spacing w:after="0" w:line="121" w:lineRule="exact"/>
        <w:rPr>
          <w:rFonts w:ascii="Arial" w:cs="Arial" w:eastAsia="Arial" w:hAnsi="Arial"/>
          <w:sz w:val="18"/>
          <w:szCs w:val="18"/>
          <w:b w:val="1"/>
          <w:bCs w:val="1"/>
          <w:color w:val="auto"/>
        </w:rPr>
      </w:pPr>
    </w:p>
    <w:p>
      <w:pPr>
        <w:ind w:left="62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Regulations on Enterprises with Foreign Investment of China and their articles of association, the Group’s subsidiaries and VIE located in the PRC, being foreign invested enterprises established in the PRC, are required to provide for certain statutory reserves. These statutory reserve funds can only be used for specific purposes of enterprise expansion, staff bonus and welfare, and are not distributable as cash dividends except in the event of liquidation of our subsidiaries, our affiliated PRC entities and their respective subsidiaries. The appropriation to these reserves by the Group’s PRC subsidiary and VIE was $nil and $nil for the nine-month periods ended September 30, 2013 and 2014 due to accumulated deficit.</w:t>
      </w:r>
    </w:p>
    <w:p>
      <w:pPr>
        <w:spacing w:after="0" w:line="85" w:lineRule="exact"/>
        <w:rPr>
          <w:rFonts w:ascii="Arial" w:cs="Arial" w:eastAsia="Arial" w:hAnsi="Arial"/>
          <w:sz w:val="18"/>
          <w:szCs w:val="18"/>
          <w:b w:val="1"/>
          <w:bCs w:val="1"/>
          <w:color w:val="auto"/>
        </w:rPr>
      </w:pPr>
    </w:p>
    <w:p>
      <w:pPr>
        <w:ind w:left="62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restrict the WFOE, VIE and VIE’s subsidiary from transferring a portion of their net assets, equivalent to the balance of their statutory reserves and their paid in capital, to the Company in the form of loans, advances or cash dividends. The WFOE’s accumulated profits may be distributed as dividends to the Company without the consent of a third party. The VIE and VIE’s</w:t>
      </w: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jc w:val="center"/>
        <w:ind w:left="500" w:right="2320"/>
        <w:spacing w:after="0" w:line="261" w:lineRule="auto"/>
        <w:rPr>
          <w:sz w:val="20"/>
          <w:szCs w:val="20"/>
          <w:color w:val="auto"/>
        </w:rPr>
      </w:pPr>
      <w:r>
        <w:rPr>
          <w:rFonts w:ascii="Arial" w:cs="Arial" w:eastAsia="Arial" w:hAnsi="Arial"/>
          <w:sz w:val="18"/>
          <w:szCs w:val="18"/>
          <w:b w:val="1"/>
          <w:bCs w:val="1"/>
          <w:color w:val="auto"/>
        </w:rPr>
        <w:t>NOTES TO UNAUDITED CONDENSED CONSOLIDATED FINANCIAL STATEMENTS - continued FOR THE NINE-MONTH PERIODS ENDED SEPTEMBER 30, 2013 AND 2014 (In U.S. dollars in thousands, except share data)</w:t>
      </w:r>
    </w:p>
    <w:p>
      <w:pPr>
        <w:spacing w:after="0" w:line="113"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 AND RESTRICTED NET ASSETS - continued</w:t>
      </w:r>
    </w:p>
    <w:p>
      <w:pPr>
        <w:spacing w:after="0" w:line="337" w:lineRule="exact"/>
        <w:rPr>
          <w:sz w:val="20"/>
          <w:szCs w:val="20"/>
          <w:color w:val="auto"/>
        </w:rPr>
      </w:pPr>
    </w:p>
    <w:p>
      <w:pPr>
        <w:ind w:left="620"/>
        <w:spacing w:after="0" w:line="276" w:lineRule="auto"/>
        <w:rPr>
          <w:sz w:val="20"/>
          <w:szCs w:val="20"/>
          <w:color w:val="auto"/>
        </w:rPr>
      </w:pPr>
      <w:r>
        <w:rPr>
          <w:rFonts w:ascii="Arial" w:cs="Arial" w:eastAsia="Arial" w:hAnsi="Arial"/>
          <w:sz w:val="17"/>
          <w:szCs w:val="17"/>
          <w:color w:val="auto"/>
        </w:rPr>
        <w:t>subsidiary’s revenues and accumulated profits may be transferred to the Company through contractual arrangements without the consent of a third party. Under applicable PRC law, loans from PRC companies to their offshore affiliated entities require governmental approval, and advances by PRC companies to their offshore affiliated entities must be supported by bona fide business transactions. The capital and statutory reserves restricted which represented the amount of net assets of the WFOE, VIE and VIE’s subsidiary in the Group not available for distribution were $12,047 and $42,081 as of December 31, 2013 and September 30, 2014, respectively.</w:t>
      </w:r>
    </w:p>
    <w:p>
      <w:pPr>
        <w:spacing w:after="0" w:line="317" w:lineRule="exact"/>
        <w:rPr>
          <w:sz w:val="20"/>
          <w:szCs w:val="20"/>
          <w:color w:val="auto"/>
        </w:rPr>
      </w:pPr>
    </w:p>
    <w:p>
      <w:pPr>
        <w:ind w:left="620" w:hanging="441"/>
        <w:spacing w:after="0"/>
        <w:tabs>
          <w:tab w:leader="none" w:pos="62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2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has evaluated events subsequent to the balance sheet date of September 30, 2014 through December 8, 2014, the date on which the financial statements were available to be issued.</w:t>
      </w:r>
    </w:p>
    <w:p>
      <w:pPr>
        <w:spacing w:after="0" w:line="62"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Newly issued share options</w:t>
      </w:r>
    </w:p>
    <w:p>
      <w:pPr>
        <w:spacing w:after="0" w:line="117" w:lineRule="exact"/>
        <w:rPr>
          <w:rFonts w:ascii="Arial" w:cs="Arial" w:eastAsia="Arial" w:hAnsi="Arial"/>
          <w:sz w:val="18"/>
          <w:szCs w:val="18"/>
          <w:b w:val="1"/>
          <w:bCs w:val="1"/>
          <w:color w:val="auto"/>
        </w:rPr>
      </w:pPr>
    </w:p>
    <w:p>
      <w:pPr>
        <w:ind w:left="62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October 2014, the Group granted 2,963,500 share options to employees with exercise price of $0.0002 per share and vesting period of 4 years. The fair value was estimated approximately US$6.75 per option, by using the mid-point of the estimated initial public offering range as the fair value per share underlying the options. The total compensation expense relating to the options was approximately US$20 million.</w:t>
      </w:r>
    </w:p>
    <w:p>
      <w:pPr>
        <w:spacing w:after="0" w:line="22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60"/>
          </w:cols>
          <w:pgMar w:left="240" w:top="459" w:right="499" w:bottom="1440" w:gutter="0" w:footer="0" w:header="0"/>
        </w:sectPr>
      </w:pPr>
    </w:p>
    <w:bookmarkStart w:id="261" w:name="page262"/>
    <w:bookmarkEnd w:id="2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220345</wp:posOffset>
            </wp:positionV>
            <wp:extent cx="5763260" cy="74098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63260" cy="74098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62" w:name="page263"/>
    <w:bookmarkEnd w:id="2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3401695</wp:posOffset>
            </wp:positionV>
            <wp:extent cx="2032635" cy="4546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032635" cy="45466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post-offering articles of association that we expect to adopt to become effective upon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the indemnification agreements the form of which is filed as Exhibit 10.5 to this registration statement, we agree to indemnify our directors and executive officers against certain liabilities and expenses incurred by such persons in connection with claims made by reason of their being such a director or officer.</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for indemnification by the underwriters of us and our officers and directors for certain liabilities, including liabilities arising under the Securities Act, but only to the extent that such liabilities are caused by information relating to the underwriters furnished to us in writing expressly for use in this registration statement and certain other disclosure documents.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During the past three years, we have issued and sold the securities described below without registering the securities under the Securities Act. None of these transactions involved any underwriters’ underwriting discounts or commissions, or any public offering. We believe that each of the following issuances to private placement investors was exempt from registration under the Securities Act in reliance on Regulation S under the Securities Act or pursuant to Section 4(2) of the Securities Act regarding transactions not involving a public offering. We believe that our issuances of options to our employees, directors, officers and consultants were exempt from registration under the Securities Act in reliance on Rule 701 under the Securities Act.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60" w:right="279" w:bottom="1440" w:gutter="0" w:footer="0" w:header="0"/>
        </w:sectPr>
      </w:pPr>
    </w:p>
    <w:bookmarkStart w:id="264" w:name="page265"/>
    <w:bookmarkEnd w:id="264"/>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September 12, 2012, we effected a 1:10 share split, in which each share of par value US$0.001 in our share capital was split into 10 shares, each of par value US$0.0001. The following share numbers have been adjusted to reflect the share split.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auto"/>
              </w:rPr>
              <w:t>Date of Sale or</w:t>
            </w:r>
          </w:p>
        </w:tc>
        <w:tc>
          <w:tcPr>
            <w:tcW w:w="320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Number of Securities</w:t>
            </w:r>
          </w:p>
        </w:tc>
        <w:tc>
          <w:tcPr>
            <w:tcW w:w="19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8"/>
              </w:rPr>
              <w:t>Consideration (US$)</w:t>
            </w: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w w:val="89"/>
              </w:rPr>
              <w:t>Securities Act</w:t>
            </w:r>
          </w:p>
        </w:tc>
        <w:tc>
          <w:tcPr>
            <w:tcW w:w="0" w:type="dxa"/>
            <w:vAlign w:val="bottom"/>
          </w:tcPr>
          <w:p>
            <w:pPr>
              <w:spacing w:after="0"/>
              <w:rPr>
                <w:sz w:val="1"/>
                <w:szCs w:val="1"/>
                <w:color w:val="auto"/>
              </w:rPr>
            </w:pPr>
          </w:p>
        </w:tc>
      </w:tr>
      <w:tr>
        <w:trPr>
          <w:trHeight w:val="176"/>
        </w:trPr>
        <w:tc>
          <w:tcPr>
            <w:tcW w:w="3540" w:type="dxa"/>
            <w:vAlign w:val="bottom"/>
            <w:gridSpan w:val="2"/>
            <w:vMerge w:val="continue"/>
          </w:tcPr>
          <w:p>
            <w:pPr>
              <w:spacing w:after="0"/>
              <w:rPr>
                <w:sz w:val="15"/>
                <w:szCs w:val="15"/>
                <w:color w:val="auto"/>
              </w:rPr>
            </w:pPr>
          </w:p>
        </w:tc>
        <w:tc>
          <w:tcPr>
            <w:tcW w:w="1880" w:type="dxa"/>
            <w:vAlign w:val="bottom"/>
            <w:gridSpan w:val="2"/>
          </w:tcPr>
          <w:p>
            <w:pPr>
              <w:ind w:left="460"/>
              <w:spacing w:after="0"/>
              <w:rPr>
                <w:sz w:val="20"/>
                <w:szCs w:val="20"/>
                <w:color w:val="auto"/>
              </w:rPr>
            </w:pPr>
            <w:r>
              <w:rPr>
                <w:rFonts w:ascii="Arial" w:cs="Arial" w:eastAsia="Arial" w:hAnsi="Arial"/>
                <w:sz w:val="14"/>
                <w:szCs w:val="14"/>
                <w:b w:val="1"/>
                <w:bCs w:val="1"/>
                <w:color w:val="auto"/>
              </w:rPr>
              <w:t>Issuance</w:t>
            </w:r>
          </w:p>
        </w:tc>
        <w:tc>
          <w:tcPr>
            <w:tcW w:w="3200" w:type="dxa"/>
            <w:vAlign w:val="bottom"/>
            <w:gridSpan w:val="2"/>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Exemption</w:t>
            </w:r>
          </w:p>
        </w:tc>
        <w:tc>
          <w:tcPr>
            <w:tcW w:w="0" w:type="dxa"/>
            <w:vAlign w:val="bottom"/>
          </w:tcPr>
          <w:p>
            <w:pPr>
              <w:spacing w:after="0"/>
              <w:rPr>
                <w:sz w:val="1"/>
                <w:szCs w:val="1"/>
                <w:color w:val="auto"/>
              </w:rPr>
            </w:pPr>
          </w:p>
        </w:tc>
      </w:tr>
      <w:tr>
        <w:trPr>
          <w:trHeight w:val="186"/>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Yan Tang</w:t>
            </w:r>
          </w:p>
        </w:tc>
        <w:tc>
          <w:tcPr>
            <w:tcW w:w="29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November 23, 2011</w:t>
            </w:r>
          </w:p>
        </w:tc>
        <w:tc>
          <w:tcPr>
            <w:tcW w:w="420" w:type="dxa"/>
            <w:vAlign w:val="bottom"/>
            <w:tcBorders>
              <w:top w:val="single" w:sz="8" w:color="CCEEFF"/>
            </w:tcBorders>
            <w:shd w:val="clear" w:color="auto" w:fill="CCEEFF"/>
          </w:tcPr>
          <w:p>
            <w:pPr>
              <w:spacing w:after="0"/>
              <w:rPr>
                <w:sz w:val="16"/>
                <w:szCs w:val="16"/>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95,550,000 ordinary shares</w:t>
            </w:r>
          </w:p>
        </w:tc>
        <w:tc>
          <w:tcPr>
            <w:tcW w:w="4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9,555</w:t>
            </w:r>
          </w:p>
        </w:tc>
        <w:tc>
          <w:tcPr>
            <w:tcW w:w="5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Yong Li</w:t>
            </w:r>
          </w:p>
        </w:tc>
        <w:tc>
          <w:tcPr>
            <w:tcW w:w="1880" w:type="dxa"/>
            <w:vAlign w:val="bottom"/>
            <w:gridSpan w:val="2"/>
          </w:tcPr>
          <w:p>
            <w:pPr>
              <w:spacing w:after="0"/>
              <w:rPr>
                <w:sz w:val="20"/>
                <w:szCs w:val="20"/>
                <w:color w:val="auto"/>
              </w:rPr>
            </w:pPr>
            <w:r>
              <w:rPr>
                <w:rFonts w:ascii="Arial" w:cs="Arial" w:eastAsia="Arial" w:hAnsi="Arial"/>
                <w:sz w:val="16"/>
                <w:szCs w:val="16"/>
                <w:color w:val="auto"/>
              </w:rPr>
              <w:t>November 23, 2011</w:t>
            </w:r>
          </w:p>
        </w:tc>
        <w:tc>
          <w:tcPr>
            <w:tcW w:w="3200" w:type="dxa"/>
            <w:vAlign w:val="bottom"/>
            <w:gridSpan w:val="2"/>
          </w:tcPr>
          <w:p>
            <w:pPr>
              <w:spacing w:after="0"/>
              <w:rPr>
                <w:sz w:val="20"/>
                <w:szCs w:val="20"/>
                <w:color w:val="auto"/>
              </w:rPr>
            </w:pPr>
            <w:r>
              <w:rPr>
                <w:rFonts w:ascii="Arial" w:cs="Arial" w:eastAsia="Arial" w:hAnsi="Arial"/>
                <w:sz w:val="16"/>
                <w:szCs w:val="16"/>
                <w:color w:val="auto"/>
              </w:rPr>
              <w:t>29,400,000 ordinary shares</w:t>
            </w:r>
          </w:p>
        </w:tc>
        <w:tc>
          <w:tcPr>
            <w:tcW w:w="1420" w:type="dxa"/>
            <w:vAlign w:val="bottom"/>
          </w:tcPr>
          <w:p>
            <w:pPr>
              <w:jc w:val="right"/>
              <w:spacing w:after="0"/>
              <w:rPr>
                <w:sz w:val="20"/>
                <w:szCs w:val="20"/>
                <w:color w:val="auto"/>
              </w:rPr>
            </w:pPr>
            <w:r>
              <w:rPr>
                <w:rFonts w:ascii="Arial" w:cs="Arial" w:eastAsia="Arial" w:hAnsi="Arial"/>
                <w:sz w:val="16"/>
                <w:szCs w:val="16"/>
                <w:color w:val="auto"/>
              </w:rPr>
              <w:t>2,940</w:t>
            </w:r>
          </w:p>
        </w:tc>
        <w:tc>
          <w:tcPr>
            <w:tcW w:w="50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Xiaoliang Lei</w:t>
            </w: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November 23, 2011</w:t>
            </w: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11,760,000 ordinary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Zhiwei Li</w:t>
            </w:r>
          </w:p>
        </w:tc>
        <w:tc>
          <w:tcPr>
            <w:tcW w:w="1880" w:type="dxa"/>
            <w:vAlign w:val="bottom"/>
            <w:gridSpan w:val="2"/>
          </w:tcPr>
          <w:p>
            <w:pPr>
              <w:spacing w:after="0"/>
              <w:rPr>
                <w:sz w:val="20"/>
                <w:szCs w:val="20"/>
                <w:color w:val="auto"/>
              </w:rPr>
            </w:pPr>
            <w:r>
              <w:rPr>
                <w:rFonts w:ascii="Arial" w:cs="Arial" w:eastAsia="Arial" w:hAnsi="Arial"/>
                <w:sz w:val="16"/>
                <w:szCs w:val="16"/>
                <w:color w:val="auto"/>
              </w:rPr>
              <w:t>November 23, 2011</w:t>
            </w:r>
          </w:p>
        </w:tc>
        <w:tc>
          <w:tcPr>
            <w:tcW w:w="3200" w:type="dxa"/>
            <w:vAlign w:val="bottom"/>
            <w:gridSpan w:val="2"/>
          </w:tcPr>
          <w:p>
            <w:pPr>
              <w:spacing w:after="0"/>
              <w:rPr>
                <w:sz w:val="20"/>
                <w:szCs w:val="20"/>
                <w:color w:val="auto"/>
              </w:rPr>
            </w:pPr>
            <w:r>
              <w:rPr>
                <w:rFonts w:ascii="Arial" w:cs="Arial" w:eastAsia="Arial" w:hAnsi="Arial"/>
                <w:sz w:val="16"/>
                <w:szCs w:val="16"/>
                <w:color w:val="auto"/>
              </w:rPr>
              <w:t>10,290,000 ordinary shares</w:t>
            </w:r>
          </w:p>
        </w:tc>
        <w:tc>
          <w:tcPr>
            <w:tcW w:w="1420" w:type="dxa"/>
            <w:vAlign w:val="bottom"/>
          </w:tcPr>
          <w:p>
            <w:pPr>
              <w:jc w:val="right"/>
              <w:spacing w:after="0"/>
              <w:rPr>
                <w:sz w:val="20"/>
                <w:szCs w:val="20"/>
                <w:color w:val="auto"/>
              </w:rPr>
            </w:pPr>
            <w:r>
              <w:rPr>
                <w:rFonts w:ascii="Arial" w:cs="Arial" w:eastAsia="Arial" w:hAnsi="Arial"/>
                <w:sz w:val="16"/>
                <w:szCs w:val="16"/>
                <w:color w:val="auto"/>
              </w:rPr>
              <w:t>1,029</w:t>
            </w:r>
          </w:p>
        </w:tc>
        <w:tc>
          <w:tcPr>
            <w:tcW w:w="50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Act</w:t>
            </w: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9"/>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Matrix Partners China II Hong Kong Limited</w:t>
            </w: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April 18, 2012</w:t>
            </w: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22,272,730 Series A-1 preferred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1,049,936.49</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Matrix Partners China II Hong Kong Limited</w:t>
            </w:r>
          </w:p>
        </w:tc>
        <w:tc>
          <w:tcPr>
            <w:tcW w:w="1880" w:type="dxa"/>
            <w:vAlign w:val="bottom"/>
            <w:gridSpan w:val="2"/>
          </w:tcPr>
          <w:p>
            <w:pPr>
              <w:spacing w:after="0"/>
              <w:rPr>
                <w:sz w:val="20"/>
                <w:szCs w:val="20"/>
                <w:color w:val="auto"/>
              </w:rPr>
            </w:pPr>
            <w:r>
              <w:rPr>
                <w:rFonts w:ascii="Arial" w:cs="Arial" w:eastAsia="Arial" w:hAnsi="Arial"/>
                <w:sz w:val="16"/>
                <w:szCs w:val="16"/>
                <w:color w:val="auto"/>
              </w:rPr>
              <w:t>April 18, 2012</w:t>
            </w:r>
          </w:p>
        </w:tc>
        <w:tc>
          <w:tcPr>
            <w:tcW w:w="3200" w:type="dxa"/>
            <w:vAlign w:val="bottom"/>
            <w:gridSpan w:val="2"/>
          </w:tcPr>
          <w:p>
            <w:pPr>
              <w:spacing w:after="0"/>
              <w:rPr>
                <w:sz w:val="20"/>
                <w:szCs w:val="20"/>
                <w:color w:val="auto"/>
              </w:rPr>
            </w:pPr>
            <w:r>
              <w:rPr>
                <w:rFonts w:ascii="Arial" w:cs="Arial" w:eastAsia="Arial" w:hAnsi="Arial"/>
                <w:sz w:val="16"/>
                <w:szCs w:val="16"/>
                <w:color w:val="auto"/>
              </w:rPr>
              <w:t>8,909,090 Series A-2 preferred shares</w:t>
            </w:r>
          </w:p>
        </w:tc>
        <w:tc>
          <w:tcPr>
            <w:tcW w:w="1920" w:type="dxa"/>
            <w:vAlign w:val="bottom"/>
            <w:gridSpan w:val="2"/>
          </w:tcPr>
          <w:p>
            <w:pPr>
              <w:jc w:val="right"/>
              <w:ind w:right="500"/>
              <w:spacing w:after="0"/>
              <w:rPr>
                <w:sz w:val="20"/>
                <w:szCs w:val="20"/>
                <w:color w:val="auto"/>
              </w:rPr>
            </w:pPr>
            <w:r>
              <w:rPr>
                <w:rFonts w:ascii="Arial" w:cs="Arial" w:eastAsia="Arial" w:hAnsi="Arial"/>
                <w:sz w:val="16"/>
                <w:szCs w:val="16"/>
                <w:color w:val="auto"/>
                <w:w w:val="94"/>
              </w:rPr>
              <w:t>Services provided by</w:t>
            </w:r>
          </w:p>
        </w:tc>
        <w:tc>
          <w:tcPr>
            <w:tcW w:w="880" w:type="dxa"/>
            <w:vAlign w:val="bottom"/>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20" w:type="dxa"/>
            <w:vAlign w:val="bottom"/>
            <w:gridSpan w:val="2"/>
          </w:tcPr>
          <w:p>
            <w:pPr>
              <w:jc w:val="right"/>
              <w:ind w:right="500"/>
              <w:spacing w:after="0"/>
              <w:rPr>
                <w:sz w:val="20"/>
                <w:szCs w:val="20"/>
                <w:color w:val="auto"/>
              </w:rPr>
            </w:pPr>
            <w:r>
              <w:rPr>
                <w:rFonts w:ascii="Arial" w:cs="Arial" w:eastAsia="Arial" w:hAnsi="Arial"/>
                <w:sz w:val="16"/>
                <w:szCs w:val="16"/>
                <w:color w:val="auto"/>
              </w:rPr>
              <w:t>the purchaser</w:t>
            </w:r>
          </w:p>
        </w:tc>
        <w:tc>
          <w:tcPr>
            <w:tcW w:w="880" w:type="dxa"/>
            <w:vAlign w:val="bottom"/>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Act</w:t>
            </w: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9"/>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 individual investor</w:t>
            </w: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April 18, 2012</w:t>
            </w: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22,272,730 Series A-1 preferred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1,049,936.49</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99"/>
              </w:rPr>
              <w:t>Section 4(2)</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of the</w:t>
            </w: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Securities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Matrix Partners China II Hong Kong Limited</w:t>
            </w:r>
          </w:p>
        </w:tc>
        <w:tc>
          <w:tcPr>
            <w:tcW w:w="1880" w:type="dxa"/>
            <w:vAlign w:val="bottom"/>
            <w:gridSpan w:val="2"/>
          </w:tcPr>
          <w:p>
            <w:pPr>
              <w:spacing w:after="0"/>
              <w:rPr>
                <w:sz w:val="20"/>
                <w:szCs w:val="20"/>
                <w:color w:val="auto"/>
              </w:rPr>
            </w:pPr>
            <w:r>
              <w:rPr>
                <w:rFonts w:ascii="Arial" w:cs="Arial" w:eastAsia="Arial" w:hAnsi="Arial"/>
                <w:sz w:val="16"/>
                <w:szCs w:val="16"/>
                <w:color w:val="auto"/>
              </w:rPr>
              <w:t>July 3, 2012</w:t>
            </w:r>
          </w:p>
        </w:tc>
        <w:tc>
          <w:tcPr>
            <w:tcW w:w="3200" w:type="dxa"/>
            <w:vAlign w:val="bottom"/>
            <w:gridSpan w:val="2"/>
          </w:tcPr>
          <w:p>
            <w:pPr>
              <w:spacing w:after="0"/>
              <w:rPr>
                <w:sz w:val="20"/>
                <w:szCs w:val="20"/>
                <w:color w:val="auto"/>
              </w:rPr>
            </w:pPr>
            <w:r>
              <w:rPr>
                <w:rFonts w:ascii="Arial" w:cs="Arial" w:eastAsia="Arial" w:hAnsi="Arial"/>
                <w:sz w:val="16"/>
                <w:szCs w:val="16"/>
                <w:color w:val="auto"/>
              </w:rPr>
              <w:t>19,797,980 Series A-3 preferred shares</w:t>
            </w:r>
          </w:p>
        </w:tc>
        <w:tc>
          <w:tcPr>
            <w:tcW w:w="1420" w:type="dxa"/>
            <w:vAlign w:val="bottom"/>
          </w:tcPr>
          <w:p>
            <w:pPr>
              <w:jc w:val="right"/>
              <w:spacing w:after="0"/>
              <w:rPr>
                <w:sz w:val="20"/>
                <w:szCs w:val="20"/>
                <w:color w:val="auto"/>
              </w:rPr>
            </w:pPr>
            <w:r>
              <w:rPr>
                <w:rFonts w:ascii="Arial" w:cs="Arial" w:eastAsia="Arial" w:hAnsi="Arial"/>
                <w:sz w:val="16"/>
                <w:szCs w:val="16"/>
                <w:color w:val="auto"/>
              </w:rPr>
              <w:t>3,999,983.88</w:t>
            </w:r>
          </w:p>
        </w:tc>
        <w:tc>
          <w:tcPr>
            <w:tcW w:w="50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Matrix Partners China II Hong Kong Limited</w:t>
            </w: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July 17, 2012</w:t>
            </w: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4,588,600 Series B preferred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1,500,472.20</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Alibaba Investment Limited</w:t>
            </w:r>
          </w:p>
        </w:tc>
        <w:tc>
          <w:tcPr>
            <w:tcW w:w="1880" w:type="dxa"/>
            <w:vAlign w:val="bottom"/>
            <w:gridSpan w:val="2"/>
          </w:tcPr>
          <w:p>
            <w:pPr>
              <w:spacing w:after="0"/>
              <w:rPr>
                <w:sz w:val="20"/>
                <w:szCs w:val="20"/>
                <w:color w:val="auto"/>
              </w:rPr>
            </w:pPr>
            <w:r>
              <w:rPr>
                <w:rFonts w:ascii="Arial" w:cs="Arial" w:eastAsia="Arial" w:hAnsi="Arial"/>
                <w:sz w:val="16"/>
                <w:szCs w:val="16"/>
                <w:color w:val="auto"/>
              </w:rPr>
              <w:t>July 17, 2012</w:t>
            </w:r>
          </w:p>
        </w:tc>
        <w:tc>
          <w:tcPr>
            <w:tcW w:w="3200" w:type="dxa"/>
            <w:vAlign w:val="bottom"/>
            <w:gridSpan w:val="2"/>
          </w:tcPr>
          <w:p>
            <w:pPr>
              <w:spacing w:after="0"/>
              <w:rPr>
                <w:sz w:val="20"/>
                <w:szCs w:val="20"/>
                <w:color w:val="auto"/>
              </w:rPr>
            </w:pPr>
            <w:r>
              <w:rPr>
                <w:rFonts w:ascii="Arial" w:cs="Arial" w:eastAsia="Arial" w:hAnsi="Arial"/>
                <w:sz w:val="16"/>
                <w:szCs w:val="16"/>
                <w:color w:val="auto"/>
              </w:rPr>
              <w:t>45,885,940 Series B preferred shares</w:t>
            </w:r>
          </w:p>
        </w:tc>
        <w:tc>
          <w:tcPr>
            <w:tcW w:w="1420" w:type="dxa"/>
            <w:vAlign w:val="bottom"/>
          </w:tcPr>
          <w:p>
            <w:pPr>
              <w:jc w:val="right"/>
              <w:spacing w:after="0"/>
              <w:rPr>
                <w:sz w:val="20"/>
                <w:szCs w:val="20"/>
                <w:color w:val="auto"/>
              </w:rPr>
            </w:pPr>
            <w:r>
              <w:rPr>
                <w:rFonts w:ascii="Arial" w:cs="Arial" w:eastAsia="Arial" w:hAnsi="Arial"/>
                <w:sz w:val="16"/>
                <w:szCs w:val="16"/>
                <w:color w:val="auto"/>
              </w:rPr>
              <w:t>15,004,702.38</w:t>
            </w:r>
          </w:p>
        </w:tc>
        <w:tc>
          <w:tcPr>
            <w:tcW w:w="50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DST Team Limited</w:t>
            </w: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July 17, 2012</w:t>
            </w: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4,588,600 Series B preferred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1,500,472.20</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Matrix Partners China II Hong Kong Limited</w:t>
            </w:r>
          </w:p>
        </w:tc>
        <w:tc>
          <w:tcPr>
            <w:tcW w:w="1880" w:type="dxa"/>
            <w:vAlign w:val="bottom"/>
            <w:gridSpan w:val="2"/>
          </w:tcPr>
          <w:p>
            <w:pPr>
              <w:spacing w:after="0"/>
              <w:rPr>
                <w:sz w:val="20"/>
                <w:szCs w:val="20"/>
                <w:color w:val="auto"/>
              </w:rPr>
            </w:pPr>
            <w:r>
              <w:rPr>
                <w:rFonts w:ascii="Arial" w:cs="Arial" w:eastAsia="Arial" w:hAnsi="Arial"/>
                <w:sz w:val="16"/>
                <w:szCs w:val="16"/>
                <w:color w:val="auto"/>
              </w:rPr>
              <w:t>October 21, 2013</w:t>
            </w:r>
          </w:p>
        </w:tc>
        <w:tc>
          <w:tcPr>
            <w:tcW w:w="3200" w:type="dxa"/>
            <w:vAlign w:val="bottom"/>
            <w:gridSpan w:val="2"/>
          </w:tcPr>
          <w:p>
            <w:pPr>
              <w:spacing w:after="0"/>
              <w:rPr>
                <w:sz w:val="20"/>
                <w:szCs w:val="20"/>
                <w:color w:val="auto"/>
              </w:rPr>
            </w:pPr>
            <w:r>
              <w:rPr>
                <w:rFonts w:ascii="Arial" w:cs="Arial" w:eastAsia="Arial" w:hAnsi="Arial"/>
                <w:sz w:val="16"/>
                <w:szCs w:val="16"/>
                <w:color w:val="auto"/>
              </w:rPr>
              <w:t>10,402,497 Series C preferred shares</w:t>
            </w:r>
          </w:p>
        </w:tc>
        <w:tc>
          <w:tcPr>
            <w:tcW w:w="1420" w:type="dxa"/>
            <w:vAlign w:val="bottom"/>
          </w:tcPr>
          <w:p>
            <w:pPr>
              <w:jc w:val="right"/>
              <w:spacing w:after="0"/>
              <w:rPr>
                <w:sz w:val="20"/>
                <w:szCs w:val="20"/>
                <w:color w:val="auto"/>
              </w:rPr>
            </w:pPr>
            <w:r>
              <w:rPr>
                <w:rFonts w:ascii="Arial" w:cs="Arial" w:eastAsia="Arial" w:hAnsi="Arial"/>
                <w:sz w:val="16"/>
                <w:szCs w:val="16"/>
                <w:color w:val="auto"/>
              </w:rPr>
              <w:t>13,000,000.50</w:t>
            </w:r>
          </w:p>
        </w:tc>
        <w:tc>
          <w:tcPr>
            <w:tcW w:w="50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Gothic Partners, L.P.</w:t>
            </w: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October 21, 2013</w:t>
            </w: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800,192 Series C preferred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999,999.94</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99"/>
              </w:rPr>
              <w:t>Section 4(2)</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of the</w:t>
            </w: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Securities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PJF Acorn I Trust</w:t>
            </w:r>
          </w:p>
        </w:tc>
        <w:tc>
          <w:tcPr>
            <w:tcW w:w="1880" w:type="dxa"/>
            <w:vAlign w:val="bottom"/>
            <w:gridSpan w:val="2"/>
          </w:tcPr>
          <w:p>
            <w:pPr>
              <w:spacing w:after="0"/>
              <w:rPr>
                <w:sz w:val="20"/>
                <w:szCs w:val="20"/>
                <w:color w:val="auto"/>
              </w:rPr>
            </w:pPr>
            <w:r>
              <w:rPr>
                <w:rFonts w:ascii="Arial" w:cs="Arial" w:eastAsia="Arial" w:hAnsi="Arial"/>
                <w:sz w:val="16"/>
                <w:szCs w:val="16"/>
                <w:color w:val="auto"/>
              </w:rPr>
              <w:t>October 21, 2013</w:t>
            </w:r>
          </w:p>
        </w:tc>
        <w:tc>
          <w:tcPr>
            <w:tcW w:w="3200" w:type="dxa"/>
            <w:vAlign w:val="bottom"/>
            <w:gridSpan w:val="2"/>
          </w:tcPr>
          <w:p>
            <w:pPr>
              <w:spacing w:after="0"/>
              <w:rPr>
                <w:sz w:val="20"/>
                <w:szCs w:val="20"/>
                <w:color w:val="auto"/>
              </w:rPr>
            </w:pPr>
            <w:r>
              <w:rPr>
                <w:rFonts w:ascii="Arial" w:cs="Arial" w:eastAsia="Arial" w:hAnsi="Arial"/>
                <w:sz w:val="16"/>
                <w:szCs w:val="16"/>
                <w:color w:val="auto"/>
              </w:rPr>
              <w:t>800,192 Series C preferred shares</w:t>
            </w:r>
          </w:p>
        </w:tc>
        <w:tc>
          <w:tcPr>
            <w:tcW w:w="1420" w:type="dxa"/>
            <w:vAlign w:val="bottom"/>
          </w:tcPr>
          <w:p>
            <w:pPr>
              <w:jc w:val="right"/>
              <w:spacing w:after="0"/>
              <w:rPr>
                <w:sz w:val="20"/>
                <w:szCs w:val="20"/>
                <w:color w:val="auto"/>
              </w:rPr>
            </w:pPr>
            <w:r>
              <w:rPr>
                <w:rFonts w:ascii="Arial" w:cs="Arial" w:eastAsia="Arial" w:hAnsi="Arial"/>
                <w:sz w:val="16"/>
                <w:szCs w:val="16"/>
                <w:color w:val="auto"/>
              </w:rPr>
              <w:t>999,999.94</w:t>
            </w:r>
          </w:p>
        </w:tc>
        <w:tc>
          <w:tcPr>
            <w:tcW w:w="50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99"/>
              </w:rPr>
              <w:t>Section 4(2)</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of the</w:t>
            </w:r>
          </w:p>
        </w:tc>
        <w:tc>
          <w:tcPr>
            <w:tcW w:w="0" w:type="dxa"/>
            <w:vAlign w:val="bottom"/>
          </w:tcPr>
          <w:p>
            <w:pPr>
              <w:spacing w:after="0"/>
              <w:rPr>
                <w:sz w:val="1"/>
                <w:szCs w:val="1"/>
                <w:color w:val="auto"/>
              </w:rPr>
            </w:pPr>
          </w:p>
        </w:tc>
      </w:tr>
      <w:tr>
        <w:trPr>
          <w:trHeight w:val="199"/>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Securities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Gansett Partners, L.L.C.</w:t>
            </w: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October 21, 2013</w:t>
            </w: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1,600,384 Series C preferred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1,999,999.88</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99"/>
              </w:rPr>
              <w:t>Section 4(2)</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of the</w:t>
            </w: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Securities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PH momo investment Ltd.</w:t>
            </w:r>
          </w:p>
        </w:tc>
        <w:tc>
          <w:tcPr>
            <w:tcW w:w="1880" w:type="dxa"/>
            <w:vAlign w:val="bottom"/>
            <w:gridSpan w:val="2"/>
          </w:tcPr>
          <w:p>
            <w:pPr>
              <w:spacing w:after="0"/>
              <w:rPr>
                <w:sz w:val="20"/>
                <w:szCs w:val="20"/>
                <w:color w:val="auto"/>
              </w:rPr>
            </w:pPr>
            <w:r>
              <w:rPr>
                <w:rFonts w:ascii="Arial" w:cs="Arial" w:eastAsia="Arial" w:hAnsi="Arial"/>
                <w:sz w:val="16"/>
                <w:szCs w:val="16"/>
                <w:color w:val="auto"/>
              </w:rPr>
              <w:t>October 21, 2013</w:t>
            </w:r>
          </w:p>
        </w:tc>
        <w:tc>
          <w:tcPr>
            <w:tcW w:w="3200" w:type="dxa"/>
            <w:vAlign w:val="bottom"/>
            <w:gridSpan w:val="2"/>
          </w:tcPr>
          <w:p>
            <w:pPr>
              <w:spacing w:after="0"/>
              <w:rPr>
                <w:sz w:val="20"/>
                <w:szCs w:val="20"/>
                <w:color w:val="auto"/>
              </w:rPr>
            </w:pPr>
            <w:r>
              <w:rPr>
                <w:rFonts w:ascii="Arial" w:cs="Arial" w:eastAsia="Arial" w:hAnsi="Arial"/>
                <w:sz w:val="16"/>
                <w:szCs w:val="16"/>
                <w:color w:val="auto"/>
              </w:rPr>
              <w:t>4,801,153 Series C preferred shares</w:t>
            </w:r>
          </w:p>
        </w:tc>
        <w:tc>
          <w:tcPr>
            <w:tcW w:w="1420" w:type="dxa"/>
            <w:vAlign w:val="bottom"/>
          </w:tcPr>
          <w:p>
            <w:pPr>
              <w:jc w:val="right"/>
              <w:spacing w:after="0"/>
              <w:rPr>
                <w:sz w:val="20"/>
                <w:szCs w:val="20"/>
                <w:color w:val="auto"/>
              </w:rPr>
            </w:pPr>
            <w:r>
              <w:rPr>
                <w:rFonts w:ascii="Arial" w:cs="Arial" w:eastAsia="Arial" w:hAnsi="Arial"/>
                <w:sz w:val="16"/>
                <w:szCs w:val="16"/>
                <w:color w:val="auto"/>
              </w:rPr>
              <w:t>6,000,000.90</w:t>
            </w:r>
          </w:p>
        </w:tc>
        <w:tc>
          <w:tcPr>
            <w:tcW w:w="50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Act</w:t>
            </w: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9"/>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Tenzing Holding 2011 Ltd.</w:t>
            </w: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October 21, 2013</w:t>
            </w: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1,600,384 Series C preferred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1,999,999.88</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w w:val="88"/>
              </w:rPr>
              <w:t>the Securities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Alibaba Investment Limited</w:t>
            </w:r>
          </w:p>
        </w:tc>
        <w:tc>
          <w:tcPr>
            <w:tcW w:w="1880" w:type="dxa"/>
            <w:vAlign w:val="bottom"/>
            <w:gridSpan w:val="2"/>
          </w:tcPr>
          <w:p>
            <w:pPr>
              <w:spacing w:after="0"/>
              <w:rPr>
                <w:sz w:val="20"/>
                <w:szCs w:val="20"/>
                <w:color w:val="auto"/>
              </w:rPr>
            </w:pPr>
            <w:r>
              <w:rPr>
                <w:rFonts w:ascii="Arial" w:cs="Arial" w:eastAsia="Arial" w:hAnsi="Arial"/>
                <w:sz w:val="16"/>
                <w:szCs w:val="16"/>
                <w:color w:val="auto"/>
              </w:rPr>
              <w:t>October 21, 2013</w:t>
            </w:r>
          </w:p>
        </w:tc>
        <w:tc>
          <w:tcPr>
            <w:tcW w:w="3200" w:type="dxa"/>
            <w:vAlign w:val="bottom"/>
            <w:gridSpan w:val="2"/>
          </w:tcPr>
          <w:p>
            <w:pPr>
              <w:spacing w:after="0"/>
              <w:rPr>
                <w:sz w:val="20"/>
                <w:szCs w:val="20"/>
                <w:color w:val="auto"/>
              </w:rPr>
            </w:pPr>
            <w:r>
              <w:rPr>
                <w:rFonts w:ascii="Arial" w:cs="Arial" w:eastAsia="Arial" w:hAnsi="Arial"/>
                <w:sz w:val="16"/>
                <w:szCs w:val="16"/>
                <w:color w:val="auto"/>
              </w:rPr>
              <w:t>8,001,920 Series C preferred shares</w:t>
            </w:r>
          </w:p>
        </w:tc>
        <w:tc>
          <w:tcPr>
            <w:tcW w:w="1420" w:type="dxa"/>
            <w:vAlign w:val="bottom"/>
          </w:tcPr>
          <w:p>
            <w:pPr>
              <w:jc w:val="right"/>
              <w:spacing w:after="0"/>
              <w:rPr>
                <w:sz w:val="20"/>
                <w:szCs w:val="20"/>
                <w:color w:val="auto"/>
              </w:rPr>
            </w:pPr>
            <w:r>
              <w:rPr>
                <w:rFonts w:ascii="Arial" w:cs="Arial" w:eastAsia="Arial" w:hAnsi="Arial"/>
                <w:sz w:val="16"/>
                <w:szCs w:val="16"/>
                <w:color w:val="auto"/>
              </w:rPr>
              <w:t>9,999,999.42</w:t>
            </w:r>
          </w:p>
        </w:tc>
        <w:tc>
          <w:tcPr>
            <w:tcW w:w="50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6"/>
                <w:szCs w:val="16"/>
                <w:color w:val="auto"/>
                <w:w w:val="93"/>
              </w:rPr>
              <w:t>Regulation S</w:t>
            </w: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under</w:t>
            </w:r>
          </w:p>
        </w:tc>
        <w:tc>
          <w:tcPr>
            <w:tcW w:w="0" w:type="dxa"/>
            <w:vAlign w:val="bottom"/>
          </w:tcPr>
          <w:p>
            <w:pPr>
              <w:spacing w:after="0"/>
              <w:rPr>
                <w:sz w:val="1"/>
                <w:szCs w:val="1"/>
                <w:color w:val="auto"/>
              </w:rPr>
            </w:pPr>
          </w:p>
        </w:tc>
      </w:tr>
    </w:tbl>
    <w:p>
      <w:pPr>
        <w:ind w:left="10540"/>
        <w:spacing w:after="0"/>
        <w:rPr>
          <w:sz w:val="20"/>
          <w:szCs w:val="20"/>
          <w:color w:val="auto"/>
        </w:rPr>
      </w:pPr>
      <w:r>
        <w:rPr>
          <w:rFonts w:ascii="Arial" w:cs="Arial" w:eastAsia="Arial" w:hAnsi="Arial"/>
          <w:sz w:val="14"/>
          <w:szCs w:val="14"/>
          <w:color w:val="auto"/>
        </w:rPr>
        <w:t>the Securities</w:t>
      </w:r>
    </w:p>
    <w:p>
      <w:pPr>
        <w:spacing w:after="0" w:line="42" w:lineRule="exact"/>
        <w:rPr>
          <w:sz w:val="20"/>
          <w:szCs w:val="20"/>
          <w:color w:val="auto"/>
        </w:rPr>
      </w:pPr>
    </w:p>
    <w:p>
      <w:pPr>
        <w:ind w:left="10540"/>
        <w:spacing w:after="0"/>
        <w:rPr>
          <w:sz w:val="20"/>
          <w:szCs w:val="20"/>
          <w:color w:val="auto"/>
        </w:rPr>
      </w:pPr>
      <w:r>
        <w:rPr>
          <w:rFonts w:ascii="Arial" w:cs="Arial" w:eastAsia="Arial" w:hAnsi="Arial"/>
          <w:sz w:val="16"/>
          <w:szCs w:val="16"/>
          <w:color w:val="auto"/>
        </w:rPr>
        <w:t>Act</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787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78740"/>
                    </a:xfrm>
                    <a:prstGeom prst="rect">
                      <a:avLst/>
                    </a:prstGeom>
                    <a:noFill/>
                  </pic:spPr>
                </pic:pic>
              </a:graphicData>
            </a:graphic>
          </wp:anchor>
        </w:drawing>
      </w:r>
    </w:p>
    <w:p>
      <w:pPr>
        <w:sectPr>
          <w:pgSz w:w="11900" w:h="16878" w:orient="portrait"/>
          <w:cols w:equalWidth="0" w:num="1">
            <w:col w:w="11420"/>
          </w:cols>
          <w:pgMar w:left="240" w:top="459" w:right="239" w:bottom="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19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DST Team Fund Limited</w:t>
            </w:r>
          </w:p>
        </w:tc>
        <w:tc>
          <w:tcPr>
            <w:tcW w:w="1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October 21, 2013</w:t>
            </w:r>
          </w:p>
        </w:tc>
        <w:tc>
          <w:tcPr>
            <w:tcW w:w="3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8,001,920 Series C preferred shares</w:t>
            </w:r>
          </w:p>
        </w:tc>
        <w:tc>
          <w:tcPr>
            <w:tcW w:w="18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9,999,999.42</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Regulation S</w:t>
            </w:r>
          </w:p>
        </w:tc>
      </w:tr>
      <w:tr>
        <w:trPr>
          <w:trHeight w:val="203"/>
        </w:trPr>
        <w:tc>
          <w:tcPr>
            <w:tcW w:w="3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under</w:t>
            </w:r>
          </w:p>
        </w:tc>
      </w:tr>
      <w:tr>
        <w:trPr>
          <w:trHeight w:val="199"/>
        </w:trPr>
        <w:tc>
          <w:tcPr>
            <w:tcW w:w="3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8"/>
              </w:rPr>
              <w:t>the Securities</w:t>
            </w:r>
          </w:p>
        </w:tc>
      </w:tr>
      <w:tr>
        <w:trPr>
          <w:trHeight w:val="216"/>
        </w:trPr>
        <w:tc>
          <w:tcPr>
            <w:tcW w:w="3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r>
      <w:tr>
        <w:trPr>
          <w:trHeight w:val="193"/>
        </w:trPr>
        <w:tc>
          <w:tcPr>
            <w:tcW w:w="3320" w:type="dxa"/>
            <w:vAlign w:val="bottom"/>
          </w:tcPr>
          <w:p>
            <w:pPr>
              <w:spacing w:after="0"/>
              <w:rPr>
                <w:sz w:val="20"/>
                <w:szCs w:val="20"/>
                <w:color w:val="auto"/>
              </w:rPr>
            </w:pPr>
            <w:r>
              <w:rPr>
                <w:rFonts w:ascii="Arial" w:cs="Arial" w:eastAsia="Arial" w:hAnsi="Arial"/>
                <w:sz w:val="16"/>
                <w:szCs w:val="16"/>
                <w:color w:val="auto"/>
              </w:rPr>
              <w:t>SCC Growth I Holdco A, Ltd., formerly known</w:t>
            </w:r>
          </w:p>
        </w:tc>
        <w:tc>
          <w:tcPr>
            <w:tcW w:w="1720" w:type="dxa"/>
            <w:vAlign w:val="bottom"/>
          </w:tcPr>
          <w:p>
            <w:pPr>
              <w:ind w:left="220"/>
              <w:spacing w:after="0"/>
              <w:rPr>
                <w:sz w:val="20"/>
                <w:szCs w:val="20"/>
                <w:color w:val="auto"/>
              </w:rPr>
            </w:pPr>
            <w:r>
              <w:rPr>
                <w:rFonts w:ascii="Arial" w:cs="Arial" w:eastAsia="Arial" w:hAnsi="Arial"/>
                <w:sz w:val="16"/>
                <w:szCs w:val="16"/>
                <w:color w:val="auto"/>
              </w:rPr>
              <w:t>May 15, 2014</w:t>
            </w:r>
          </w:p>
        </w:tc>
        <w:tc>
          <w:tcPr>
            <w:tcW w:w="3460" w:type="dxa"/>
            <w:vAlign w:val="bottom"/>
          </w:tcPr>
          <w:p>
            <w:pPr>
              <w:ind w:left="380"/>
              <w:spacing w:after="0"/>
              <w:rPr>
                <w:sz w:val="20"/>
                <w:szCs w:val="20"/>
                <w:color w:val="auto"/>
              </w:rPr>
            </w:pPr>
            <w:r>
              <w:rPr>
                <w:rFonts w:ascii="Arial" w:cs="Arial" w:eastAsia="Arial" w:hAnsi="Arial"/>
                <w:sz w:val="16"/>
                <w:szCs w:val="16"/>
                <w:color w:val="auto"/>
              </w:rPr>
              <w:t>2,063,441 Series D preferred shares</w:t>
            </w:r>
          </w:p>
        </w:tc>
        <w:tc>
          <w:tcPr>
            <w:tcW w:w="1800" w:type="dxa"/>
            <w:vAlign w:val="bottom"/>
          </w:tcPr>
          <w:p>
            <w:pPr>
              <w:jc w:val="right"/>
              <w:ind w:right="179"/>
              <w:spacing w:after="0"/>
              <w:rPr>
                <w:sz w:val="20"/>
                <w:szCs w:val="20"/>
                <w:color w:val="auto"/>
              </w:rPr>
            </w:pPr>
            <w:r>
              <w:rPr>
                <w:rFonts w:ascii="Arial" w:cs="Arial" w:eastAsia="Arial" w:hAnsi="Arial"/>
                <w:sz w:val="16"/>
                <w:szCs w:val="16"/>
                <w:color w:val="auto"/>
              </w:rPr>
              <w:t>10,000,000</w:t>
            </w:r>
          </w:p>
        </w:tc>
        <w:tc>
          <w:tcPr>
            <w:tcW w:w="1120" w:type="dxa"/>
            <w:vAlign w:val="bottom"/>
          </w:tcPr>
          <w:p>
            <w:pPr>
              <w:ind w:left="240"/>
              <w:spacing w:after="0"/>
              <w:rPr>
                <w:sz w:val="20"/>
                <w:szCs w:val="20"/>
                <w:color w:val="auto"/>
              </w:rPr>
            </w:pPr>
            <w:r>
              <w:rPr>
                <w:rFonts w:ascii="Arial" w:cs="Arial" w:eastAsia="Arial" w:hAnsi="Arial"/>
                <w:sz w:val="16"/>
                <w:szCs w:val="16"/>
                <w:color w:val="auto"/>
                <w:w w:val="93"/>
              </w:rPr>
              <w:t>Regulation S</w:t>
            </w:r>
          </w:p>
        </w:tc>
      </w:tr>
      <w:tr>
        <w:trPr>
          <w:trHeight w:val="203"/>
        </w:trPr>
        <w:tc>
          <w:tcPr>
            <w:tcW w:w="3320" w:type="dxa"/>
            <w:vAlign w:val="bottom"/>
          </w:tcPr>
          <w:p>
            <w:pPr>
              <w:ind w:left="180"/>
              <w:spacing w:after="0"/>
              <w:rPr>
                <w:sz w:val="20"/>
                <w:szCs w:val="20"/>
                <w:color w:val="auto"/>
              </w:rPr>
            </w:pPr>
            <w:r>
              <w:rPr>
                <w:rFonts w:ascii="Arial" w:cs="Arial" w:eastAsia="Arial" w:hAnsi="Arial"/>
                <w:sz w:val="16"/>
                <w:szCs w:val="16"/>
                <w:color w:val="auto"/>
                <w:w w:val="98"/>
              </w:rPr>
              <w:t>as Sequoia Capital China Investment Holdco</w:t>
            </w:r>
          </w:p>
        </w:tc>
        <w:tc>
          <w:tcPr>
            <w:tcW w:w="17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Arial" w:cs="Arial" w:eastAsia="Arial" w:hAnsi="Arial"/>
                <w:sz w:val="16"/>
                <w:szCs w:val="16"/>
                <w:color w:val="auto"/>
              </w:rPr>
              <w:t>under</w:t>
            </w:r>
          </w:p>
        </w:tc>
      </w:tr>
      <w:tr>
        <w:trPr>
          <w:trHeight w:val="199"/>
        </w:trPr>
        <w:tc>
          <w:tcPr>
            <w:tcW w:w="3320" w:type="dxa"/>
            <w:vAlign w:val="bottom"/>
          </w:tcPr>
          <w:p>
            <w:pPr>
              <w:ind w:left="180"/>
              <w:spacing w:after="0"/>
              <w:rPr>
                <w:sz w:val="20"/>
                <w:szCs w:val="20"/>
                <w:color w:val="auto"/>
              </w:rPr>
            </w:pPr>
            <w:r>
              <w:rPr>
                <w:rFonts w:ascii="Arial" w:cs="Arial" w:eastAsia="Arial" w:hAnsi="Arial"/>
                <w:sz w:val="16"/>
                <w:szCs w:val="16"/>
                <w:color w:val="auto"/>
              </w:rPr>
              <w:t>II, Ltd.</w:t>
            </w:r>
          </w:p>
        </w:tc>
        <w:tc>
          <w:tcPr>
            <w:tcW w:w="17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Arial" w:cs="Arial" w:eastAsia="Arial" w:hAnsi="Arial"/>
                <w:sz w:val="16"/>
                <w:szCs w:val="16"/>
                <w:color w:val="auto"/>
                <w:w w:val="88"/>
              </w:rPr>
              <w:t>the Securities</w:t>
            </w:r>
          </w:p>
        </w:tc>
      </w:tr>
      <w:tr>
        <w:trPr>
          <w:trHeight w:val="216"/>
        </w:trPr>
        <w:tc>
          <w:tcPr>
            <w:tcW w:w="3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ind w:left="240"/>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r>
      <w:tr>
        <w:trPr>
          <w:trHeight w:val="19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Sequoia Capital China GF Holdco III-A, Ltd.</w:t>
            </w:r>
          </w:p>
        </w:tc>
        <w:tc>
          <w:tcPr>
            <w:tcW w:w="1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May 15, 2014</w:t>
            </w:r>
          </w:p>
        </w:tc>
        <w:tc>
          <w:tcPr>
            <w:tcW w:w="3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11,348,923 Series D preferred shares</w:t>
            </w:r>
          </w:p>
        </w:tc>
        <w:tc>
          <w:tcPr>
            <w:tcW w:w="18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55,000,000</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Regulation S</w:t>
            </w:r>
          </w:p>
        </w:tc>
      </w:tr>
      <w:tr>
        <w:trPr>
          <w:trHeight w:val="203"/>
        </w:trPr>
        <w:tc>
          <w:tcPr>
            <w:tcW w:w="3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under</w:t>
            </w:r>
          </w:p>
        </w:tc>
      </w:tr>
      <w:tr>
        <w:trPr>
          <w:trHeight w:val="199"/>
        </w:trPr>
        <w:tc>
          <w:tcPr>
            <w:tcW w:w="3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8"/>
              </w:rPr>
              <w:t>the Securities</w:t>
            </w:r>
          </w:p>
        </w:tc>
      </w:tr>
      <w:tr>
        <w:trPr>
          <w:trHeight w:val="216"/>
        </w:trPr>
        <w:tc>
          <w:tcPr>
            <w:tcW w:w="3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w:t>
            </w:r>
            <w:r>
              <w:rPr>
                <w:rFonts w:ascii="Arial" w:cs="Arial" w:eastAsia="Arial" w:hAnsi="Arial"/>
                <w:sz w:val="13"/>
                <w:szCs w:val="13"/>
                <w:color w:val="auto"/>
              </w:rPr>
              <w:t>(1)</w:t>
            </w:r>
          </w:p>
        </w:tc>
      </w:tr>
      <w:tr>
        <w:trPr>
          <w:trHeight w:val="193"/>
        </w:trPr>
        <w:tc>
          <w:tcPr>
            <w:tcW w:w="3320" w:type="dxa"/>
            <w:vAlign w:val="bottom"/>
          </w:tcPr>
          <w:p>
            <w:pPr>
              <w:spacing w:after="0"/>
              <w:rPr>
                <w:sz w:val="20"/>
                <w:szCs w:val="20"/>
                <w:color w:val="auto"/>
              </w:rPr>
            </w:pPr>
            <w:r>
              <w:rPr>
                <w:rFonts w:ascii="Arial" w:cs="Arial" w:eastAsia="Arial" w:hAnsi="Arial"/>
                <w:sz w:val="16"/>
                <w:szCs w:val="16"/>
                <w:color w:val="auto"/>
              </w:rPr>
              <w:t>SC China Growth III Co-Investment 2014-A,</w:t>
            </w:r>
          </w:p>
        </w:tc>
        <w:tc>
          <w:tcPr>
            <w:tcW w:w="1720" w:type="dxa"/>
            <w:vAlign w:val="bottom"/>
          </w:tcPr>
          <w:p>
            <w:pPr>
              <w:ind w:left="220"/>
              <w:spacing w:after="0"/>
              <w:rPr>
                <w:sz w:val="20"/>
                <w:szCs w:val="20"/>
                <w:color w:val="auto"/>
              </w:rPr>
            </w:pPr>
            <w:r>
              <w:rPr>
                <w:rFonts w:ascii="Arial" w:cs="Arial" w:eastAsia="Arial" w:hAnsi="Arial"/>
                <w:sz w:val="16"/>
                <w:szCs w:val="16"/>
                <w:color w:val="auto"/>
              </w:rPr>
              <w:t>May 15, 2014</w:t>
            </w:r>
          </w:p>
        </w:tc>
        <w:tc>
          <w:tcPr>
            <w:tcW w:w="3460" w:type="dxa"/>
            <w:vAlign w:val="bottom"/>
          </w:tcPr>
          <w:p>
            <w:pPr>
              <w:ind w:left="380"/>
              <w:spacing w:after="0"/>
              <w:rPr>
                <w:sz w:val="20"/>
                <w:szCs w:val="20"/>
                <w:color w:val="auto"/>
              </w:rPr>
            </w:pPr>
            <w:r>
              <w:rPr>
                <w:rFonts w:ascii="Arial" w:cs="Arial" w:eastAsia="Arial" w:hAnsi="Arial"/>
                <w:sz w:val="16"/>
                <w:szCs w:val="16"/>
                <w:color w:val="auto"/>
              </w:rPr>
              <w:t>5,158,602 Series D preferred shares</w:t>
            </w:r>
          </w:p>
        </w:tc>
        <w:tc>
          <w:tcPr>
            <w:tcW w:w="1800" w:type="dxa"/>
            <w:vAlign w:val="bottom"/>
          </w:tcPr>
          <w:p>
            <w:pPr>
              <w:jc w:val="right"/>
              <w:ind w:right="179"/>
              <w:spacing w:after="0"/>
              <w:rPr>
                <w:sz w:val="20"/>
                <w:szCs w:val="20"/>
                <w:color w:val="auto"/>
              </w:rPr>
            </w:pPr>
            <w:r>
              <w:rPr>
                <w:rFonts w:ascii="Arial" w:cs="Arial" w:eastAsia="Arial" w:hAnsi="Arial"/>
                <w:sz w:val="16"/>
                <w:szCs w:val="16"/>
                <w:color w:val="auto"/>
              </w:rPr>
              <w:t>25,000,000</w:t>
            </w:r>
          </w:p>
        </w:tc>
        <w:tc>
          <w:tcPr>
            <w:tcW w:w="1120" w:type="dxa"/>
            <w:vAlign w:val="bottom"/>
          </w:tcPr>
          <w:p>
            <w:pPr>
              <w:ind w:left="240"/>
              <w:spacing w:after="0"/>
              <w:rPr>
                <w:sz w:val="20"/>
                <w:szCs w:val="20"/>
                <w:color w:val="auto"/>
              </w:rPr>
            </w:pPr>
            <w:r>
              <w:rPr>
                <w:rFonts w:ascii="Arial" w:cs="Arial" w:eastAsia="Arial" w:hAnsi="Arial"/>
                <w:sz w:val="16"/>
                <w:szCs w:val="16"/>
                <w:color w:val="auto"/>
                <w:w w:val="93"/>
              </w:rPr>
              <w:t>Regulation S</w:t>
            </w:r>
          </w:p>
        </w:tc>
      </w:tr>
      <w:tr>
        <w:trPr>
          <w:trHeight w:val="203"/>
        </w:trPr>
        <w:tc>
          <w:tcPr>
            <w:tcW w:w="3320" w:type="dxa"/>
            <w:vAlign w:val="bottom"/>
          </w:tcPr>
          <w:p>
            <w:pPr>
              <w:ind w:left="180"/>
              <w:spacing w:after="0"/>
              <w:rPr>
                <w:sz w:val="20"/>
                <w:szCs w:val="20"/>
                <w:color w:val="auto"/>
              </w:rPr>
            </w:pPr>
            <w:r>
              <w:rPr>
                <w:rFonts w:ascii="Arial" w:cs="Arial" w:eastAsia="Arial" w:hAnsi="Arial"/>
                <w:sz w:val="16"/>
                <w:szCs w:val="16"/>
                <w:color w:val="auto"/>
              </w:rPr>
              <w:t>L.P.</w:t>
            </w:r>
          </w:p>
        </w:tc>
        <w:tc>
          <w:tcPr>
            <w:tcW w:w="17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Arial" w:cs="Arial" w:eastAsia="Arial" w:hAnsi="Arial"/>
                <w:sz w:val="16"/>
                <w:szCs w:val="16"/>
                <w:color w:val="auto"/>
              </w:rPr>
              <w:t>under</w:t>
            </w:r>
          </w:p>
        </w:tc>
      </w:tr>
      <w:tr>
        <w:trPr>
          <w:trHeight w:val="199"/>
        </w:trPr>
        <w:tc>
          <w:tcPr>
            <w:tcW w:w="3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Arial" w:cs="Arial" w:eastAsia="Arial" w:hAnsi="Arial"/>
                <w:sz w:val="16"/>
                <w:szCs w:val="16"/>
                <w:color w:val="auto"/>
                <w:w w:val="88"/>
              </w:rPr>
              <w:t>the Securities</w:t>
            </w:r>
          </w:p>
        </w:tc>
      </w:tr>
      <w:tr>
        <w:trPr>
          <w:trHeight w:val="216"/>
        </w:trPr>
        <w:tc>
          <w:tcPr>
            <w:tcW w:w="3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ind w:left="240"/>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r>
      <w:tr>
        <w:trPr>
          <w:trHeight w:val="19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Rich Moon Limited</w:t>
            </w:r>
          </w:p>
        </w:tc>
        <w:tc>
          <w:tcPr>
            <w:tcW w:w="1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May 15, 2014</w:t>
            </w:r>
          </w:p>
        </w:tc>
        <w:tc>
          <w:tcPr>
            <w:tcW w:w="3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18,570,966 Series D preferred shares</w:t>
            </w:r>
          </w:p>
        </w:tc>
        <w:tc>
          <w:tcPr>
            <w:tcW w:w="18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90,000,000</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Regulation S</w:t>
            </w:r>
          </w:p>
        </w:tc>
      </w:tr>
      <w:tr>
        <w:trPr>
          <w:trHeight w:val="203"/>
        </w:trPr>
        <w:tc>
          <w:tcPr>
            <w:tcW w:w="3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under</w:t>
            </w:r>
          </w:p>
        </w:tc>
      </w:tr>
      <w:tr>
        <w:trPr>
          <w:trHeight w:val="199"/>
        </w:trPr>
        <w:tc>
          <w:tcPr>
            <w:tcW w:w="3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8"/>
              </w:rPr>
              <w:t>the Securities</w:t>
            </w:r>
          </w:p>
        </w:tc>
      </w:tr>
      <w:tr>
        <w:trPr>
          <w:trHeight w:val="216"/>
        </w:trPr>
        <w:tc>
          <w:tcPr>
            <w:tcW w:w="3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line="216" w:lineRule="exact"/>
              <w:rPr>
                <w:sz w:val="20"/>
                <w:szCs w:val="20"/>
                <w:color w:val="auto"/>
              </w:rPr>
            </w:pPr>
            <w:r>
              <w:rPr>
                <w:rFonts w:ascii="Arial" w:cs="Arial" w:eastAsia="Arial" w:hAnsi="Arial"/>
                <w:sz w:val="15"/>
                <w:szCs w:val="15"/>
                <w:color w:val="auto"/>
              </w:rPr>
              <w:t>Act</w:t>
            </w:r>
            <w:r>
              <w:rPr>
                <w:rFonts w:ascii="Arial" w:cs="Arial" w:eastAsia="Arial" w:hAnsi="Arial"/>
                <w:sz w:val="25"/>
                <w:szCs w:val="25"/>
                <w:color w:val="auto"/>
                <w:vertAlign w:val="superscript"/>
              </w:rPr>
              <w:t>(1)</w:t>
            </w:r>
          </w:p>
        </w:tc>
      </w:tr>
      <w:tr>
        <w:trPr>
          <w:trHeight w:val="193"/>
        </w:trPr>
        <w:tc>
          <w:tcPr>
            <w:tcW w:w="3320" w:type="dxa"/>
            <w:vAlign w:val="bottom"/>
          </w:tcPr>
          <w:p>
            <w:pPr>
              <w:spacing w:after="0"/>
              <w:rPr>
                <w:sz w:val="20"/>
                <w:szCs w:val="20"/>
                <w:color w:val="auto"/>
              </w:rPr>
            </w:pPr>
            <w:r>
              <w:rPr>
                <w:rFonts w:ascii="Arial" w:cs="Arial" w:eastAsia="Arial" w:hAnsi="Arial"/>
                <w:sz w:val="16"/>
                <w:szCs w:val="16"/>
                <w:color w:val="auto"/>
              </w:rPr>
              <w:t>Tiger Global Eight Holdings</w:t>
            </w:r>
          </w:p>
        </w:tc>
        <w:tc>
          <w:tcPr>
            <w:tcW w:w="1720" w:type="dxa"/>
            <w:vAlign w:val="bottom"/>
          </w:tcPr>
          <w:p>
            <w:pPr>
              <w:ind w:left="220"/>
              <w:spacing w:after="0"/>
              <w:rPr>
                <w:sz w:val="20"/>
                <w:szCs w:val="20"/>
                <w:color w:val="auto"/>
              </w:rPr>
            </w:pPr>
            <w:r>
              <w:rPr>
                <w:rFonts w:ascii="Arial" w:cs="Arial" w:eastAsia="Arial" w:hAnsi="Arial"/>
                <w:sz w:val="16"/>
                <w:szCs w:val="16"/>
                <w:color w:val="auto"/>
              </w:rPr>
              <w:t>May 15, 2014</w:t>
            </w:r>
          </w:p>
        </w:tc>
        <w:tc>
          <w:tcPr>
            <w:tcW w:w="3460" w:type="dxa"/>
            <w:vAlign w:val="bottom"/>
          </w:tcPr>
          <w:p>
            <w:pPr>
              <w:ind w:left="380"/>
              <w:spacing w:after="0"/>
              <w:rPr>
                <w:sz w:val="20"/>
                <w:szCs w:val="20"/>
                <w:color w:val="auto"/>
              </w:rPr>
            </w:pPr>
            <w:r>
              <w:rPr>
                <w:rFonts w:ascii="Arial" w:cs="Arial" w:eastAsia="Arial" w:hAnsi="Arial"/>
                <w:sz w:val="16"/>
                <w:szCs w:val="16"/>
                <w:color w:val="auto"/>
              </w:rPr>
              <w:t>6,551,424 Series D preferred shares</w:t>
            </w:r>
          </w:p>
        </w:tc>
        <w:tc>
          <w:tcPr>
            <w:tcW w:w="1800" w:type="dxa"/>
            <w:vAlign w:val="bottom"/>
          </w:tcPr>
          <w:p>
            <w:pPr>
              <w:jc w:val="right"/>
              <w:ind w:right="179"/>
              <w:spacing w:after="0"/>
              <w:rPr>
                <w:sz w:val="20"/>
                <w:szCs w:val="20"/>
                <w:color w:val="auto"/>
              </w:rPr>
            </w:pPr>
            <w:r>
              <w:rPr>
                <w:rFonts w:ascii="Arial" w:cs="Arial" w:eastAsia="Arial" w:hAnsi="Arial"/>
                <w:sz w:val="16"/>
                <w:szCs w:val="16"/>
                <w:color w:val="auto"/>
              </w:rPr>
              <w:t>31,750,000</w:t>
            </w:r>
          </w:p>
        </w:tc>
        <w:tc>
          <w:tcPr>
            <w:tcW w:w="1120" w:type="dxa"/>
            <w:vAlign w:val="bottom"/>
          </w:tcPr>
          <w:p>
            <w:pPr>
              <w:ind w:left="240"/>
              <w:spacing w:after="0"/>
              <w:rPr>
                <w:sz w:val="20"/>
                <w:szCs w:val="20"/>
                <w:color w:val="auto"/>
              </w:rPr>
            </w:pPr>
            <w:r>
              <w:rPr>
                <w:rFonts w:ascii="Arial" w:cs="Arial" w:eastAsia="Arial" w:hAnsi="Arial"/>
                <w:sz w:val="16"/>
                <w:szCs w:val="16"/>
                <w:color w:val="auto"/>
                <w:w w:val="93"/>
              </w:rPr>
              <w:t>Regulation S</w:t>
            </w:r>
          </w:p>
        </w:tc>
      </w:tr>
      <w:tr>
        <w:trPr>
          <w:trHeight w:val="206"/>
        </w:trPr>
        <w:tc>
          <w:tcPr>
            <w:tcW w:w="3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Arial" w:cs="Arial" w:eastAsia="Arial" w:hAnsi="Arial"/>
                <w:sz w:val="16"/>
                <w:szCs w:val="16"/>
                <w:color w:val="auto"/>
              </w:rPr>
              <w:t>under</w:t>
            </w:r>
          </w:p>
        </w:tc>
      </w:tr>
    </w:tbl>
    <w:p>
      <w:pPr>
        <w:ind w:left="10540"/>
        <w:spacing w:after="0"/>
        <w:rPr>
          <w:sz w:val="20"/>
          <w:szCs w:val="20"/>
          <w:color w:val="auto"/>
        </w:rPr>
      </w:pPr>
      <w:r>
        <w:rPr>
          <w:rFonts w:ascii="Arial" w:cs="Arial" w:eastAsia="Arial" w:hAnsi="Arial"/>
          <w:sz w:val="14"/>
          <w:szCs w:val="14"/>
          <w:color w:val="auto"/>
        </w:rPr>
        <w:t>the Securities</w:t>
      </w:r>
    </w:p>
    <w:p>
      <w:pPr>
        <w:spacing w:after="0" w:line="42" w:lineRule="exact"/>
        <w:rPr>
          <w:sz w:val="20"/>
          <w:szCs w:val="20"/>
          <w:color w:val="auto"/>
        </w:rPr>
      </w:pPr>
    </w:p>
    <w:p>
      <w:pPr>
        <w:ind w:left="10540"/>
        <w:spacing w:after="0"/>
        <w:rPr>
          <w:sz w:val="20"/>
          <w:szCs w:val="20"/>
          <w:color w:val="auto"/>
        </w:rPr>
      </w:pPr>
      <w:r>
        <w:rPr>
          <w:rFonts w:ascii="Arial" w:cs="Arial" w:eastAsia="Arial" w:hAnsi="Arial"/>
          <w:sz w:val="16"/>
          <w:szCs w:val="16"/>
          <w:color w:val="auto"/>
        </w:rPr>
        <w:t>Act</w:t>
      </w:r>
      <w:r>
        <w:rPr>
          <w:rFonts w:ascii="Arial" w:cs="Arial" w:eastAsia="Arial" w:hAnsi="Arial"/>
          <w:sz w:val="13"/>
          <w:szCs w:val="13"/>
          <w:color w:val="auto"/>
        </w:rPr>
        <w:t>(1)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14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Date of Sale or</w:t>
            </w:r>
          </w:p>
        </w:tc>
        <w:tc>
          <w:tcPr>
            <w:tcW w:w="340" w:type="dxa"/>
            <w:vAlign w:val="bottom"/>
          </w:tcPr>
          <w:p>
            <w:pPr>
              <w:spacing w:after="0"/>
              <w:rPr>
                <w:sz w:val="14"/>
                <w:szCs w:val="14"/>
                <w:color w:val="auto"/>
              </w:rPr>
            </w:pPr>
          </w:p>
        </w:tc>
        <w:tc>
          <w:tcPr>
            <w:tcW w:w="3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Consideration</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 Act</w:t>
            </w:r>
          </w:p>
        </w:tc>
        <w:tc>
          <w:tcPr>
            <w:tcW w:w="0" w:type="dxa"/>
            <w:vAlign w:val="bottom"/>
          </w:tcPr>
          <w:p>
            <w:pPr>
              <w:spacing w:after="0"/>
              <w:rPr>
                <w:sz w:val="1"/>
                <w:szCs w:val="1"/>
                <w:color w:val="auto"/>
              </w:rPr>
            </w:pPr>
          </w:p>
        </w:tc>
      </w:tr>
      <w:tr>
        <w:trPr>
          <w:trHeight w:val="176"/>
        </w:trPr>
        <w:tc>
          <w:tcPr>
            <w:tcW w:w="3540" w:type="dxa"/>
            <w:vAlign w:val="bottom"/>
            <w:gridSpan w:val="2"/>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Issuance</w:t>
            </w:r>
          </w:p>
        </w:tc>
        <w:tc>
          <w:tcPr>
            <w:tcW w:w="340" w:type="dxa"/>
            <w:vAlign w:val="bottom"/>
          </w:tcPr>
          <w:p>
            <w:pPr>
              <w:spacing w:after="0"/>
              <w:rPr>
                <w:sz w:val="15"/>
                <w:szCs w:val="15"/>
                <w:color w:val="auto"/>
              </w:rPr>
            </w:pPr>
          </w:p>
        </w:tc>
        <w:tc>
          <w:tcPr>
            <w:tcW w:w="3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(US$)</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Exemption</w:t>
            </w:r>
          </w:p>
        </w:tc>
        <w:tc>
          <w:tcPr>
            <w:tcW w:w="0" w:type="dxa"/>
            <w:vAlign w:val="bottom"/>
          </w:tcPr>
          <w:p>
            <w:pPr>
              <w:spacing w:after="0"/>
              <w:rPr>
                <w:sz w:val="1"/>
                <w:szCs w:val="1"/>
                <w:color w:val="auto"/>
              </w:rPr>
            </w:pPr>
          </w:p>
        </w:tc>
      </w:tr>
      <w:tr>
        <w:trPr>
          <w:trHeight w:val="173"/>
        </w:trPr>
        <w:tc>
          <w:tcPr>
            <w:tcW w:w="64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Certain</w:t>
            </w:r>
          </w:p>
        </w:tc>
        <w:tc>
          <w:tcPr>
            <w:tcW w:w="2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employees, directors and officers and</w:t>
            </w:r>
          </w:p>
        </w:tc>
        <w:tc>
          <w:tcPr>
            <w:tcW w:w="146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Various dates</w:t>
            </w:r>
          </w:p>
        </w:tc>
        <w:tc>
          <w:tcPr>
            <w:tcW w:w="340" w:type="dxa"/>
            <w:vAlign w:val="bottom"/>
            <w:tcBorders>
              <w:top w:val="single" w:sz="8" w:color="CCEEFF"/>
            </w:tcBorders>
            <w:shd w:val="clear" w:color="auto" w:fill="CCEEFF"/>
          </w:tcPr>
          <w:p>
            <w:pPr>
              <w:spacing w:after="0"/>
              <w:rPr>
                <w:sz w:val="15"/>
                <w:szCs w:val="15"/>
                <w:color w:val="auto"/>
              </w:rPr>
            </w:pPr>
          </w:p>
        </w:tc>
        <w:tc>
          <w:tcPr>
            <w:tcW w:w="286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Outstanding options to purchase</w:t>
            </w:r>
          </w:p>
        </w:tc>
        <w:tc>
          <w:tcPr>
            <w:tcW w:w="3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Past and future</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w w:val="91"/>
              </w:rPr>
              <w:t>Rule 701 under the</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consultants</w:t>
            </w:r>
          </w:p>
        </w:tc>
        <w:tc>
          <w:tcPr>
            <w:tcW w:w="146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30,727,026 ordinary shares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services to our</w:t>
            </w:r>
          </w:p>
        </w:tc>
        <w:tc>
          <w:tcPr>
            <w:tcW w:w="146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5"/>
                <w:szCs w:val="15"/>
                <w:color w:val="auto"/>
              </w:rPr>
              <w:t>Securities Act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12"/>
        </w:trPr>
        <w:tc>
          <w:tcPr>
            <w:tcW w:w="6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company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20" w:hanging="332"/>
        <w:spacing w:after="0" w:line="265" w:lineRule="auto"/>
        <w:tabs>
          <w:tab w:leader="none" w:pos="3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 reliance on the exemption under Regulation S because we offered and sold the ordinary shares or preferred shares to non-U.S. persons outside the United States without any “directed selling efforts” in the United States, as such term is defined under Regulation S. We are a foreign issuer incorporated in the British Virgin Islands continued into existence under the laws of Cayman Islands. We believe there was no substantial U.S. market interest in the ordinary shares and preferred shares at the commencement of the offer of shares.</w:t>
      </w:r>
    </w:p>
    <w:p>
      <w:pPr>
        <w:spacing w:after="0" w:line="1" w:lineRule="exact"/>
        <w:rPr>
          <w:rFonts w:ascii="Arial" w:cs="Arial" w:eastAsia="Arial" w:hAnsi="Arial"/>
          <w:sz w:val="16"/>
          <w:szCs w:val="16"/>
          <w:color w:val="auto"/>
        </w:rPr>
      </w:pPr>
    </w:p>
    <w:p>
      <w:pPr>
        <w:ind w:left="340" w:right="100" w:hanging="332"/>
        <w:spacing w:after="0" w:line="281" w:lineRule="auto"/>
        <w:tabs>
          <w:tab w:leader="none" w:pos="34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in reliance on Section 4(2) of the Securities Act for transactions by an issuer not involving any public offering, as we believe, at the time of the issuance of the preferred shares, each of the individual investor, Gothic Partners, L.P., PJF Acorn I Trust and Gansett Partners, L.L.C. (i) had enough knowledge and experience in finance and business matters to evaluate the risks and merits of the investment; (ii) had access to the type of information normally provided in a prospectus; and (iii) had acquired the preferred shares for investment purposes for the investor’s own account or for the account of an affiliate, and not with a view to resell or distribute any of part of the acquired shares. In addition, we did not use any form of public solicitation or general advertising in connection with the private placements.</w:t>
      </w:r>
    </w:p>
    <w:p>
      <w:pPr>
        <w:spacing w:after="0" w:line="3" w:lineRule="exact"/>
        <w:rPr>
          <w:rFonts w:ascii="Arial" w:cs="Arial" w:eastAsia="Arial" w:hAnsi="Arial"/>
          <w:sz w:val="15"/>
          <w:szCs w:val="15"/>
          <w:color w:val="auto"/>
        </w:rPr>
      </w:pPr>
    </w:p>
    <w:p>
      <w:pPr>
        <w:ind w:left="340" w:right="20" w:hanging="332"/>
        <w:spacing w:after="0" w:line="269" w:lineRule="auto"/>
        <w:tabs>
          <w:tab w:leader="none" w:pos="3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 reliance on the exemption of Rule 701 under the Securities Act as all the options were granted by our company under the share incentive plan that we adopted in November 2012, as amended. At the time of each option grant, we were not a reporting company under section 13 or 15(d) of the Exchange Act of 1934 or an investment company registered or required to be registered under the Investment Company Act of 1940. The share incentive plan is a “compensatory benefit plan” as defined under Rule 701 that we established to provide share incentives to our officers, directors and employees, as well as consultants and advisors who render to our company or one of our affiliates bona fide services, other than services in connection with the offer or sale of securities of our company or any of our affiliates, as applicable, in a capital raising transaction or as a market maker or promoter of that entity’s securities.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35"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Exhibit Index beginning on page II-7 of this registration statement.</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78"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330"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right="320" w:firstLine="464"/>
        <w:spacing w:after="0" w:line="286" w:lineRule="auto"/>
        <w:tabs>
          <w:tab w:leader="none" w:pos="71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right="260" w:firstLine="464"/>
        <w:spacing w:after="0" w:line="264" w:lineRule="auto"/>
        <w:tabs>
          <w:tab w:leader="none" w:pos="71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60" w:firstLine="464"/>
        <w:spacing w:after="0" w:line="272" w:lineRule="auto"/>
        <w:tabs>
          <w:tab w:leader="none" w:pos="71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right="60" w:firstLine="464"/>
        <w:spacing w:after="0" w:line="302" w:lineRule="auto"/>
        <w:tabs>
          <w:tab w:leader="none" w:pos="71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For the purpose of determining any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6" w:lineRule="exact"/>
        <w:rPr>
          <w:rFonts w:ascii="Arial" w:cs="Arial" w:eastAsia="Arial" w:hAnsi="Arial"/>
          <w:sz w:val="16"/>
          <w:szCs w:val="16"/>
          <w:color w:val="auto"/>
        </w:rPr>
      </w:pPr>
    </w:p>
    <w:p>
      <w:pPr>
        <w:ind w:left="1120" w:hanging="217"/>
        <w:spacing w:after="0"/>
        <w:tabs>
          <w:tab w:leader="none" w:pos="112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00" w:firstLine="443"/>
        <w:spacing w:after="0" w:line="277" w:lineRule="auto"/>
        <w:tabs>
          <w:tab w:leader="none" w:pos="116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right="180" w:firstLine="443"/>
        <w:spacing w:after="0" w:line="277" w:lineRule="auto"/>
        <w:tabs>
          <w:tab w:leader="none" w:pos="121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Beijing, China, on December 8, 2014.</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MOMO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Yan Tang</w:t>
      </w:r>
    </w:p>
    <w:p>
      <w:pPr>
        <w:spacing w:after="0" w:line="23" w:lineRule="exact"/>
        <w:rPr>
          <w:sz w:val="20"/>
          <w:szCs w:val="20"/>
          <w:color w:val="auto"/>
        </w:rPr>
      </w:pPr>
    </w:p>
    <w:tbl>
      <w:tblPr>
        <w:tblLayout w:type="fixed"/>
        <w:tblInd w:w="7180" w:type="dxa"/>
        <w:tblCellMar>
          <w:top w:w="0" w:type="dxa"/>
          <w:left w:w="0" w:type="dxa"/>
          <w:bottom w:w="0" w:type="dxa"/>
          <w:right w:w="0" w:type="dxa"/>
        </w:tblCellMar>
      </w:tblPr>
      <w:tr>
        <w:trPr>
          <w:trHeight w:val="209"/>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Yan Tang</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ind w:left="160"/>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420"/>
          </w:cols>
          <w:pgMar w:left="240" w:top="460" w:right="2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0" w:type="dxa"/>
            <w:vAlign w:val="bottom"/>
          </w:tcPr>
          <w:p>
            <w:pPr>
              <w:spacing w:after="0"/>
              <w:rPr>
                <w:sz w:val="16"/>
                <w:szCs w:val="16"/>
                <w:color w:val="auto"/>
              </w:rPr>
            </w:pPr>
          </w:p>
        </w:tc>
        <w:tc>
          <w:tcPr>
            <w:tcW w:w="1500" w:type="dxa"/>
            <w:vAlign w:val="bottom"/>
            <w:vMerge w:val="restart"/>
          </w:tcPr>
          <w:p>
            <w:pPr>
              <w:ind w:left="1340"/>
              <w:spacing w:after="0"/>
              <w:rPr>
                <w:sz w:val="20"/>
                <w:szCs w:val="20"/>
                <w:color w:val="auto"/>
              </w:rPr>
            </w:pPr>
            <w:r>
              <w:rPr>
                <w:rFonts w:ascii="Arial" w:cs="Arial" w:eastAsia="Arial" w:hAnsi="Arial"/>
                <w:sz w:val="18"/>
                <w:szCs w:val="18"/>
                <w:color w:val="auto"/>
                <w:w w:val="73"/>
              </w:rPr>
              <w:t>/s/</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2640" w:type="dxa"/>
            <w:vAlign w:val="bottom"/>
            <w:tcBorders>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Yan Tang</w:t>
            </w: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4140" w:type="dxa"/>
            <w:vAlign w:val="bottom"/>
            <w:gridSpan w:val="3"/>
          </w:tcPr>
          <w:p>
            <w:pPr>
              <w:jc w:val="center"/>
              <w:ind w:right="540"/>
              <w:spacing w:after="0"/>
              <w:rPr>
                <w:sz w:val="20"/>
                <w:szCs w:val="20"/>
                <w:color w:val="auto"/>
              </w:rPr>
            </w:pPr>
            <w:r>
              <w:rPr>
                <w:rFonts w:ascii="Arial" w:cs="Arial" w:eastAsia="Arial" w:hAnsi="Arial"/>
                <w:sz w:val="18"/>
                <w:szCs w:val="18"/>
                <w:color w:val="auto"/>
                <w:w w:val="87"/>
              </w:rPr>
              <w:t>Yan Tang</w:t>
            </w:r>
          </w:p>
        </w:tc>
        <w:tc>
          <w:tcPr>
            <w:tcW w:w="0" w:type="dxa"/>
            <w:vAlign w:val="bottom"/>
          </w:tcPr>
          <w:p>
            <w:pPr>
              <w:spacing w:after="0"/>
              <w:rPr>
                <w:sz w:val="1"/>
                <w:szCs w:val="1"/>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8"/>
                <w:szCs w:val="18"/>
                <w:color w:val="auto"/>
                <w:w w:val="88"/>
              </w:rPr>
              <w:t>/s/ Jonathan Xiaosong Zhang</w:t>
            </w: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414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Jonathan Xiaosong Zhang</w:t>
            </w:r>
          </w:p>
        </w:tc>
        <w:tc>
          <w:tcPr>
            <w:tcW w:w="0" w:type="dxa"/>
            <w:vAlign w:val="bottom"/>
          </w:tcPr>
          <w:p>
            <w:pPr>
              <w:spacing w:after="0"/>
              <w:rPr>
                <w:sz w:val="1"/>
                <w:szCs w:val="1"/>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14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40" w:type="dxa"/>
            <w:vAlign w:val="bottom"/>
            <w:gridSpan w:val="2"/>
          </w:tcPr>
          <w:p>
            <w:pPr>
              <w:jc w:val="center"/>
              <w:ind w:right="2040"/>
              <w:spacing w:after="0"/>
              <w:rPr>
                <w:sz w:val="20"/>
                <w:szCs w:val="20"/>
                <w:color w:val="auto"/>
              </w:rPr>
            </w:pPr>
            <w:r>
              <w:rPr>
                <w:rFonts w:ascii="Arial" w:cs="Arial" w:eastAsia="Arial" w:hAnsi="Arial"/>
                <w:sz w:val="18"/>
                <w:szCs w:val="18"/>
                <w:color w:val="auto"/>
                <w:w w:val="98"/>
              </w:rPr>
              <w:t>Yong Li</w:t>
            </w:r>
          </w:p>
        </w:tc>
        <w:tc>
          <w:tcPr>
            <w:tcW w:w="0" w:type="dxa"/>
            <w:vAlign w:val="bottom"/>
          </w:tcPr>
          <w:p>
            <w:pPr>
              <w:spacing w:after="0"/>
              <w:rPr>
                <w:sz w:val="1"/>
                <w:szCs w:val="1"/>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14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414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Sichuan Zhang</w:t>
            </w:r>
          </w:p>
        </w:tc>
        <w:tc>
          <w:tcPr>
            <w:tcW w:w="0" w:type="dxa"/>
            <w:vAlign w:val="bottom"/>
          </w:tcPr>
          <w:p>
            <w:pPr>
              <w:spacing w:after="0"/>
              <w:rPr>
                <w:sz w:val="1"/>
                <w:szCs w:val="1"/>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14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4140" w:type="dxa"/>
            <w:vAlign w:val="bottom"/>
            <w:gridSpan w:val="3"/>
          </w:tcPr>
          <w:p>
            <w:pPr>
              <w:jc w:val="center"/>
              <w:ind w:right="560"/>
              <w:spacing w:after="0"/>
              <w:rPr>
                <w:sz w:val="20"/>
                <w:szCs w:val="20"/>
                <w:color w:val="auto"/>
              </w:rPr>
            </w:pPr>
            <w:r>
              <w:rPr>
                <w:rFonts w:ascii="Arial" w:cs="Arial" w:eastAsia="Arial" w:hAnsi="Arial"/>
                <w:sz w:val="18"/>
                <w:szCs w:val="18"/>
                <w:color w:val="auto"/>
                <w:w w:val="93"/>
              </w:rPr>
              <w:t>David Ying Zhang</w:t>
            </w:r>
          </w:p>
        </w:tc>
        <w:tc>
          <w:tcPr>
            <w:tcW w:w="0" w:type="dxa"/>
            <w:vAlign w:val="bottom"/>
          </w:tcPr>
          <w:p>
            <w:pPr>
              <w:spacing w:after="0"/>
              <w:rPr>
                <w:sz w:val="1"/>
                <w:szCs w:val="1"/>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14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414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Hongping Zhang</w:t>
            </w:r>
          </w:p>
        </w:tc>
        <w:tc>
          <w:tcPr>
            <w:tcW w:w="0" w:type="dxa"/>
            <w:vAlign w:val="bottom"/>
          </w:tcPr>
          <w:p>
            <w:pPr>
              <w:spacing w:after="0"/>
              <w:rPr>
                <w:sz w:val="1"/>
                <w:szCs w:val="1"/>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14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4140" w:type="dxa"/>
            <w:vAlign w:val="bottom"/>
            <w:gridSpan w:val="3"/>
          </w:tcPr>
          <w:p>
            <w:pPr>
              <w:jc w:val="center"/>
              <w:ind w:right="540"/>
              <w:spacing w:after="0"/>
              <w:rPr>
                <w:sz w:val="20"/>
                <w:szCs w:val="20"/>
                <w:color w:val="auto"/>
              </w:rPr>
            </w:pPr>
            <w:r>
              <w:rPr>
                <w:rFonts w:ascii="Arial" w:cs="Arial" w:eastAsia="Arial" w:hAnsi="Arial"/>
                <w:sz w:val="18"/>
                <w:szCs w:val="18"/>
                <w:color w:val="auto"/>
                <w:w w:val="91"/>
              </w:rPr>
              <w:t>Yongming Wu</w:t>
            </w:r>
          </w:p>
        </w:tc>
        <w:tc>
          <w:tcPr>
            <w:tcW w:w="0" w:type="dxa"/>
            <w:vAlign w:val="bottom"/>
          </w:tcPr>
          <w:p>
            <w:pPr>
              <w:spacing w:after="0"/>
              <w:rPr>
                <w:sz w:val="1"/>
                <w:szCs w:val="1"/>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14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414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Ho Kee Harry Man</w:t>
            </w:r>
          </w:p>
        </w:tc>
        <w:tc>
          <w:tcPr>
            <w:tcW w:w="0" w:type="dxa"/>
            <w:vAlign w:val="bottom"/>
          </w:tcPr>
          <w:p>
            <w:pPr>
              <w:spacing w:after="0"/>
              <w:rPr>
                <w:sz w:val="1"/>
                <w:szCs w:val="1"/>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14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414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Neil Nanpeng Shen</w:t>
            </w:r>
          </w:p>
        </w:tc>
        <w:tc>
          <w:tcPr>
            <w:tcW w:w="0" w:type="dxa"/>
            <w:vAlign w:val="bottom"/>
          </w:tcPr>
          <w:p>
            <w:pPr>
              <w:spacing w:after="0"/>
              <w:rPr>
                <w:sz w:val="1"/>
                <w:szCs w:val="1"/>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14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4140" w:type="dxa"/>
            <w:vAlign w:val="bottom"/>
            <w:gridSpan w:val="3"/>
          </w:tcPr>
          <w:p>
            <w:pPr>
              <w:jc w:val="center"/>
              <w:ind w:right="540"/>
              <w:spacing w:after="0"/>
              <w:rPr>
                <w:sz w:val="20"/>
                <w:szCs w:val="20"/>
                <w:color w:val="auto"/>
              </w:rPr>
            </w:pPr>
            <w:r>
              <w:rPr>
                <w:rFonts w:ascii="Arial" w:cs="Arial" w:eastAsia="Arial" w:hAnsi="Arial"/>
                <w:sz w:val="18"/>
                <w:szCs w:val="18"/>
                <w:color w:val="auto"/>
                <w:w w:val="88"/>
              </w:rPr>
              <w:t>Feng Yu</w:t>
            </w:r>
          </w:p>
        </w:tc>
        <w:tc>
          <w:tcPr>
            <w:tcW w:w="0" w:type="dxa"/>
            <w:vAlign w:val="bottom"/>
          </w:tcPr>
          <w:p>
            <w:pPr>
              <w:spacing w:after="0"/>
              <w:rPr>
                <w:sz w:val="1"/>
                <w:szCs w:val="1"/>
                <w:color w:val="auto"/>
              </w:rPr>
            </w:pPr>
          </w:p>
        </w:tc>
      </w:tr>
      <w:tr>
        <w:trPr>
          <w:trHeight w:val="418"/>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88"/>
              </w:rPr>
              <w:t>/s/ Yan Tang</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4140" w:type="dxa"/>
            <w:vAlign w:val="bottom"/>
            <w:gridSpan w:val="3"/>
          </w:tcPr>
          <w:p>
            <w:pPr>
              <w:jc w:val="center"/>
              <w:ind w:right="540"/>
              <w:spacing w:after="0" w:line="195" w:lineRule="exact"/>
              <w:rPr>
                <w:sz w:val="20"/>
                <w:szCs w:val="20"/>
                <w:color w:val="auto"/>
              </w:rPr>
            </w:pPr>
            <w:r>
              <w:rPr>
                <w:rFonts w:ascii="Arial" w:cs="Arial" w:eastAsia="Arial" w:hAnsi="Arial"/>
                <w:sz w:val="18"/>
                <w:szCs w:val="18"/>
                <w:color w:val="auto"/>
                <w:w w:val="88"/>
              </w:rPr>
              <w:t>Name: Yan Tang</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140" w:type="dxa"/>
            <w:vAlign w:val="bottom"/>
            <w:gridSpan w:val="3"/>
          </w:tcPr>
          <w:p>
            <w:pPr>
              <w:jc w:val="center"/>
              <w:ind w:right="540"/>
              <w:spacing w:after="0"/>
              <w:rPr>
                <w:sz w:val="20"/>
                <w:szCs w:val="20"/>
                <w:color w:val="auto"/>
              </w:rPr>
            </w:pPr>
            <w:r>
              <w:rPr>
                <w:rFonts w:ascii="Arial" w:cs="Arial" w:eastAsia="Arial" w:hAnsi="Arial"/>
                <w:sz w:val="18"/>
                <w:szCs w:val="18"/>
                <w:i w:val="1"/>
                <w:iCs w:val="1"/>
                <w:color w:val="auto"/>
                <w:w w:val="95"/>
              </w:rPr>
              <w:t>Attorney-in-fact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u w:val="single" w:color="auto"/>
          <w:color w:val="auto"/>
        </w:rPr>
        <w:t>Title</w:t>
      </w:r>
    </w:p>
    <w:p>
      <w:pPr>
        <w:spacing w:after="0" w:line="25"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auto"/>
        </w:rPr>
        <w:t>Chairman and Chief Executive Officer</w:t>
      </w:r>
    </w:p>
    <w:p>
      <w:pPr>
        <w:spacing w:after="0" w:line="8"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39"/>
        <w:spacing w:after="0"/>
        <w:rPr>
          <w:sz w:val="20"/>
          <w:szCs w:val="20"/>
          <w:color w:val="auto"/>
        </w:rPr>
      </w:pPr>
      <w:r>
        <w:rPr>
          <w:rFonts w:ascii="Arial" w:cs="Arial" w:eastAsia="Arial" w:hAnsi="Arial"/>
          <w:sz w:val="16"/>
          <w:szCs w:val="16"/>
          <w:color w:val="auto"/>
        </w:rPr>
        <w:t>(principal financial and accounting officer)</w:t>
      </w:r>
    </w:p>
    <w:p>
      <w:pPr>
        <w:spacing w:after="0" w:line="3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u w:val="single" w:color="auto"/>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December 8, 2014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December 8, 2014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December 8, 2014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December 8, 2014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December 8, 2014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December 8, 2014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December 8, 2014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December 8, 2014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December 8, 2014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December 8, 2014</w:t>
      </w:r>
    </w:p>
    <w:p>
      <w:pPr>
        <w:sectPr>
          <w:pgSz w:w="11900" w:h="16838" w:orient="portrait"/>
          <w:cols w:equalWidth="0" w:num="3">
            <w:col w:w="5240" w:space="340"/>
            <w:col w:w="3440" w:space="720"/>
            <w:col w:w="1680"/>
          </w:cols>
          <w:pgMar w:left="240" w:top="460" w:right="239" w:bottom="1440" w:gutter="0" w:footer="0" w:header="0"/>
          <w:type w:val="continuous"/>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Momo Inc. has signed this registration statement or amendment thereto in New York on December 8, 2014.</w:t>
      </w:r>
    </w:p>
    <w:p>
      <w:pPr>
        <w:spacing w:after="0" w:line="19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Authorized U.S. Representative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 Manon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G. Manon, on behalf of Law Debenture Corporate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Service Inc.</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Service of Process Officer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80"/>
          </w:cols>
          <w:pgMar w:left="240" w:top="459" w:right="2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300" w:type="dxa"/>
            <w:vAlign w:val="bottom"/>
          </w:tcPr>
          <w:p>
            <w:pPr>
              <w:jc w:val="center"/>
              <w:ind w:right="2010"/>
              <w:spacing w:after="0"/>
              <w:rPr>
                <w:sz w:val="20"/>
                <w:szCs w:val="20"/>
                <w:color w:val="auto"/>
              </w:rPr>
            </w:pPr>
            <w:r>
              <w:rPr>
                <w:rFonts w:ascii="Arial" w:cs="Arial" w:eastAsia="Arial" w:hAnsi="Arial"/>
                <w:sz w:val="18"/>
                <w:szCs w:val="18"/>
                <w:b w:val="1"/>
                <w:bCs w:val="1"/>
                <w:color w:val="auto"/>
              </w:rPr>
              <w:t>MOMO INC.</w:t>
            </w: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00" w:type="dxa"/>
            <w:vAlign w:val="bottom"/>
          </w:tcPr>
          <w:p>
            <w:pPr>
              <w:jc w:val="center"/>
              <w:ind w:right="201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9860" w:type="dxa"/>
            <w:vAlign w:val="bottom"/>
            <w:gridSpan w:val="2"/>
          </w:tcPr>
          <w:p>
            <w:pPr>
              <w:ind w:left="560"/>
              <w:spacing w:after="0"/>
              <w:rPr>
                <w:sz w:val="20"/>
                <w:szCs w:val="20"/>
                <w:color w:val="auto"/>
              </w:rPr>
            </w:pPr>
            <w:r>
              <w:rPr>
                <w:rFonts w:ascii="Arial" w:cs="Arial" w:eastAsia="Arial" w:hAnsi="Arial"/>
                <w:sz w:val="14"/>
                <w:szCs w:val="14"/>
                <w:b w:val="1"/>
                <w:bCs w:val="1"/>
                <w:color w:val="auto"/>
              </w:rPr>
              <w:t>Description of Document</w:t>
            </w:r>
          </w:p>
        </w:tc>
      </w:tr>
      <w:tr>
        <w:trPr>
          <w:trHeight w:val="224"/>
        </w:trPr>
        <w:tc>
          <w:tcPr>
            <w:tcW w:w="20" w:type="dxa"/>
            <w:vAlign w:val="bottom"/>
          </w:tcPr>
          <w:p>
            <w:pPr>
              <w:spacing w:after="0"/>
              <w:rPr>
                <w:sz w:val="19"/>
                <w:szCs w:val="19"/>
                <w:color w:val="auto"/>
              </w:rPr>
            </w:pPr>
          </w:p>
        </w:tc>
        <w:tc>
          <w:tcPr>
            <w:tcW w:w="9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20" w:type="dxa"/>
            <w:vAlign w:val="bottom"/>
          </w:tcPr>
          <w:p>
            <w:pPr>
              <w:spacing w:after="0"/>
              <w:rPr>
                <w:sz w:val="24"/>
                <w:szCs w:val="24"/>
                <w:color w:val="auto"/>
              </w:rPr>
            </w:pPr>
          </w:p>
        </w:tc>
        <w:tc>
          <w:tcPr>
            <w:tcW w:w="1540" w:type="dxa"/>
            <w:vAlign w:val="bottom"/>
            <w:gridSpan w:val="2"/>
          </w:tcPr>
          <w:p>
            <w:pPr>
              <w:jc w:val="right"/>
              <w:ind w:right="1140"/>
              <w:spacing w:after="0"/>
              <w:rPr>
                <w:sz w:val="20"/>
                <w:szCs w:val="20"/>
                <w:color w:val="auto"/>
              </w:rPr>
            </w:pPr>
            <w:r>
              <w:rPr>
                <w:rFonts w:ascii="Arial" w:cs="Arial" w:eastAsia="Arial" w:hAnsi="Arial"/>
                <w:sz w:val="18"/>
                <w:szCs w:val="18"/>
                <w:color w:val="auto"/>
              </w:rPr>
              <w:t>3.1†</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Memorandum and articles of association of the Registrant, as currently in effect</w:t>
            </w:r>
          </w:p>
        </w:tc>
      </w:tr>
      <w:tr>
        <w:trPr>
          <w:trHeight w:val="310"/>
        </w:trPr>
        <w:tc>
          <w:tcPr>
            <w:tcW w:w="20" w:type="dxa"/>
            <w:vAlign w:val="bottom"/>
          </w:tcPr>
          <w:p>
            <w:pPr>
              <w:spacing w:after="0"/>
              <w:rPr>
                <w:sz w:val="24"/>
                <w:szCs w:val="24"/>
                <w:color w:val="auto"/>
              </w:rPr>
            </w:pPr>
          </w:p>
        </w:tc>
        <w:tc>
          <w:tcPr>
            <w:tcW w:w="1540" w:type="dxa"/>
            <w:vAlign w:val="bottom"/>
            <w:gridSpan w:val="2"/>
          </w:tcPr>
          <w:p>
            <w:pPr>
              <w:jc w:val="right"/>
              <w:ind w:right="1140"/>
              <w:spacing w:after="0"/>
              <w:rPr>
                <w:sz w:val="20"/>
                <w:szCs w:val="20"/>
                <w:color w:val="auto"/>
              </w:rPr>
            </w:pPr>
            <w:r>
              <w:rPr>
                <w:rFonts w:ascii="Arial" w:cs="Arial" w:eastAsia="Arial" w:hAnsi="Arial"/>
                <w:sz w:val="18"/>
                <w:szCs w:val="18"/>
                <w:color w:val="auto"/>
              </w:rPr>
              <w:t>3.2†</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4"/>
              </w:rPr>
              <w:t>Form of amended and restated memorandum and articles of association of the Registrant, effective upon the closing of this</w:t>
            </w: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offering</w:t>
            </w:r>
          </w:p>
        </w:tc>
      </w:tr>
      <w:tr>
        <w:trPr>
          <w:trHeight w:val="324"/>
        </w:trPr>
        <w:tc>
          <w:tcPr>
            <w:tcW w:w="20" w:type="dxa"/>
            <w:vAlign w:val="bottom"/>
          </w:tcPr>
          <w:p>
            <w:pPr>
              <w:spacing w:after="0"/>
              <w:rPr>
                <w:sz w:val="24"/>
                <w:szCs w:val="24"/>
                <w:color w:val="auto"/>
              </w:rPr>
            </w:pPr>
          </w:p>
        </w:tc>
        <w:tc>
          <w:tcPr>
            <w:tcW w:w="1540" w:type="dxa"/>
            <w:vAlign w:val="bottom"/>
            <w:gridSpan w:val="2"/>
          </w:tcPr>
          <w:p>
            <w:pPr>
              <w:jc w:val="right"/>
              <w:ind w:right="1140"/>
              <w:spacing w:after="0"/>
              <w:rPr>
                <w:sz w:val="20"/>
                <w:szCs w:val="20"/>
                <w:color w:val="auto"/>
              </w:rPr>
            </w:pPr>
            <w:r>
              <w:rPr>
                <w:rFonts w:ascii="Arial" w:cs="Arial" w:eastAsia="Arial" w:hAnsi="Arial"/>
                <w:sz w:val="18"/>
                <w:szCs w:val="18"/>
                <w:color w:val="auto"/>
              </w:rPr>
              <w:t>4.1†</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Registrant’s specimen American depositary receipt (included in Exhibit 4.3)</w:t>
            </w:r>
          </w:p>
        </w:tc>
      </w:tr>
      <w:tr>
        <w:trPr>
          <w:trHeight w:val="324"/>
        </w:trPr>
        <w:tc>
          <w:tcPr>
            <w:tcW w:w="20" w:type="dxa"/>
            <w:vAlign w:val="bottom"/>
          </w:tcPr>
          <w:p>
            <w:pPr>
              <w:spacing w:after="0"/>
              <w:rPr>
                <w:sz w:val="24"/>
                <w:szCs w:val="24"/>
                <w:color w:val="auto"/>
              </w:rPr>
            </w:pPr>
          </w:p>
        </w:tc>
        <w:tc>
          <w:tcPr>
            <w:tcW w:w="1540" w:type="dxa"/>
            <w:vAlign w:val="bottom"/>
            <w:gridSpan w:val="2"/>
          </w:tcPr>
          <w:p>
            <w:pPr>
              <w:jc w:val="right"/>
              <w:ind w:right="1140"/>
              <w:spacing w:after="0"/>
              <w:rPr>
                <w:sz w:val="20"/>
                <w:szCs w:val="20"/>
                <w:color w:val="auto"/>
              </w:rPr>
            </w:pPr>
            <w:r>
              <w:rPr>
                <w:rFonts w:ascii="Arial" w:cs="Arial" w:eastAsia="Arial" w:hAnsi="Arial"/>
                <w:sz w:val="18"/>
                <w:szCs w:val="18"/>
                <w:color w:val="auto"/>
              </w:rPr>
              <w:t>4.2†</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Registrant’s specimen certificate for Class A ordinary shares</w:t>
            </w:r>
          </w:p>
        </w:tc>
      </w:tr>
      <w:tr>
        <w:trPr>
          <w:trHeight w:val="324"/>
        </w:trPr>
        <w:tc>
          <w:tcPr>
            <w:tcW w:w="20" w:type="dxa"/>
            <w:vAlign w:val="bottom"/>
          </w:tcPr>
          <w:p>
            <w:pPr>
              <w:spacing w:after="0"/>
              <w:rPr>
                <w:sz w:val="24"/>
                <w:szCs w:val="24"/>
                <w:color w:val="auto"/>
              </w:rPr>
            </w:pPr>
          </w:p>
        </w:tc>
        <w:tc>
          <w:tcPr>
            <w:tcW w:w="1540" w:type="dxa"/>
            <w:vAlign w:val="bottom"/>
            <w:gridSpan w:val="2"/>
          </w:tcPr>
          <w:p>
            <w:pPr>
              <w:jc w:val="right"/>
              <w:ind w:right="1140"/>
              <w:spacing w:after="0"/>
              <w:rPr>
                <w:sz w:val="20"/>
                <w:szCs w:val="20"/>
                <w:color w:val="auto"/>
              </w:rPr>
            </w:pPr>
            <w:r>
              <w:rPr>
                <w:rFonts w:ascii="Arial" w:cs="Arial" w:eastAsia="Arial" w:hAnsi="Arial"/>
                <w:sz w:val="18"/>
                <w:szCs w:val="18"/>
                <w:color w:val="auto"/>
              </w:rPr>
              <w:t>4.3†</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Form of deposit agreement, among the Registrant, the depositary and holder of the American Depositary Receipts</w:t>
            </w:r>
          </w:p>
        </w:tc>
      </w:tr>
      <w:tr>
        <w:trPr>
          <w:trHeight w:val="310"/>
        </w:trPr>
        <w:tc>
          <w:tcPr>
            <w:tcW w:w="20" w:type="dxa"/>
            <w:vAlign w:val="bottom"/>
          </w:tcPr>
          <w:p>
            <w:pPr>
              <w:spacing w:after="0"/>
              <w:rPr>
                <w:sz w:val="24"/>
                <w:szCs w:val="24"/>
                <w:color w:val="auto"/>
              </w:rPr>
            </w:pPr>
          </w:p>
        </w:tc>
        <w:tc>
          <w:tcPr>
            <w:tcW w:w="1540" w:type="dxa"/>
            <w:vAlign w:val="bottom"/>
            <w:gridSpan w:val="2"/>
          </w:tcPr>
          <w:p>
            <w:pPr>
              <w:jc w:val="right"/>
              <w:ind w:right="1140"/>
              <w:spacing w:after="0"/>
              <w:rPr>
                <w:sz w:val="20"/>
                <w:szCs w:val="20"/>
                <w:color w:val="auto"/>
              </w:rPr>
            </w:pPr>
            <w:r>
              <w:rPr>
                <w:rFonts w:ascii="Arial" w:cs="Arial" w:eastAsia="Arial" w:hAnsi="Arial"/>
                <w:sz w:val="18"/>
                <w:szCs w:val="18"/>
                <w:color w:val="auto"/>
              </w:rPr>
              <w:t>4.4†</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3"/>
              </w:rPr>
              <w:t>Third amended and restated shareholders agreement among the Registrant, shareholders of the Registrant and other parties</w:t>
            </w: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thereto, dated May 15, 2014</w:t>
            </w:r>
          </w:p>
        </w:tc>
      </w:tr>
      <w:tr>
        <w:trPr>
          <w:trHeight w:val="324"/>
        </w:trPr>
        <w:tc>
          <w:tcPr>
            <w:tcW w:w="1000" w:type="dxa"/>
            <w:vAlign w:val="bottom"/>
            <w:gridSpan w:val="2"/>
          </w:tcPr>
          <w:p>
            <w:pPr>
              <w:jc w:val="right"/>
              <w:ind w:right="59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Opinion of Maples and Calder regarding the validity of the Class A ordinary shares being registered</w:t>
            </w:r>
          </w:p>
        </w:tc>
      </w:tr>
      <w:tr>
        <w:trPr>
          <w:trHeight w:val="324"/>
        </w:trPr>
        <w:tc>
          <w:tcPr>
            <w:tcW w:w="1000" w:type="dxa"/>
            <w:vAlign w:val="bottom"/>
            <w:gridSpan w:val="2"/>
          </w:tcPr>
          <w:p>
            <w:pPr>
              <w:jc w:val="right"/>
              <w:ind w:right="590"/>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24"/>
                <w:szCs w:val="24"/>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Opinion of Maples and Calder regarding certain Cayman Islands tax matters (included in Exhibit 5.1)</w:t>
            </w:r>
          </w:p>
        </w:tc>
      </w:tr>
      <w:tr>
        <w:trPr>
          <w:trHeight w:val="324"/>
        </w:trPr>
        <w:tc>
          <w:tcPr>
            <w:tcW w:w="20" w:type="dxa"/>
            <w:vAlign w:val="bottom"/>
          </w:tcPr>
          <w:p>
            <w:pPr>
              <w:spacing w:after="0"/>
              <w:rPr>
                <w:sz w:val="24"/>
                <w:szCs w:val="24"/>
                <w:color w:val="auto"/>
              </w:rPr>
            </w:pPr>
          </w:p>
        </w:tc>
        <w:tc>
          <w:tcPr>
            <w:tcW w:w="1540" w:type="dxa"/>
            <w:vAlign w:val="bottom"/>
            <w:gridSpan w:val="2"/>
          </w:tcPr>
          <w:p>
            <w:pPr>
              <w:jc w:val="right"/>
              <w:ind w:right="1140"/>
              <w:spacing w:after="0"/>
              <w:rPr>
                <w:sz w:val="20"/>
                <w:szCs w:val="20"/>
                <w:color w:val="auto"/>
              </w:rPr>
            </w:pPr>
            <w:r>
              <w:rPr>
                <w:rFonts w:ascii="Arial" w:cs="Arial" w:eastAsia="Arial" w:hAnsi="Arial"/>
                <w:sz w:val="18"/>
                <w:szCs w:val="18"/>
                <w:color w:val="auto"/>
              </w:rPr>
              <w:t>8.2†</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Opinion of Han Kun Law Offices regarding certain PRC tax matters (included in Exhibit 99.2)</w:t>
            </w:r>
          </w:p>
        </w:tc>
      </w:tr>
      <w:tr>
        <w:trPr>
          <w:trHeight w:val="324"/>
        </w:trPr>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w w:val="88"/>
              </w:rPr>
              <w:t>10.1†</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Amended and restated 2012 share incentive plan</w:t>
            </w:r>
          </w:p>
        </w:tc>
      </w:tr>
      <w:tr>
        <w:trPr>
          <w:trHeight w:val="324"/>
        </w:trPr>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w w:val="88"/>
              </w:rPr>
              <w:t>10.2†</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2014 share incentive plan</w:t>
            </w:r>
          </w:p>
        </w:tc>
      </w:tr>
      <w:tr>
        <w:trPr>
          <w:trHeight w:val="310"/>
        </w:trPr>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w w:val="88"/>
              </w:rPr>
              <w:t>10.3†</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0"/>
              </w:rPr>
              <w:t>Series C preferred share purchase agreement by and among the Registrant, Matrix Partners China II Hong Kong Limited, Gothic</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6"/>
              </w:rPr>
              <w:t>Partners, L.P., PJF Acorn I Trust, Gansett Partners, L.L.C, PH momo investment Ltd., Tenzing Holding 2011 Ltd., Alibaba</w:t>
            </w: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Investment Limited and DST Team Fund Limited, as investors, and other parties thereto, dated October 8, 2013</w:t>
            </w:r>
          </w:p>
        </w:tc>
      </w:tr>
      <w:tr>
        <w:trPr>
          <w:trHeight w:val="310"/>
        </w:trPr>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w w:val="88"/>
              </w:rPr>
              <w:t>10.4†</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2"/>
              </w:rPr>
              <w:t>Series D preferred share purchase agreement by and among the Registrant, SCC Growth I Holdco A, Ltd. (formerly known as</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7"/>
              </w:rPr>
              <w:t>Sequoia Capital China Investment Holdco II, Ltd.), Sequoia Capital China GF Holdco III-A, Ltd., SC China Growth III Co-</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4"/>
              </w:rPr>
              <w:t>Investment 2014-A, L.P., Rich Moon Limited and Tiger Global Eight Holdings, as investors, and other parties thereto, dated</w:t>
            </w: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April 22, 2014</w:t>
            </w:r>
          </w:p>
        </w:tc>
      </w:tr>
      <w:tr>
        <w:trPr>
          <w:trHeight w:val="324"/>
        </w:trPr>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w w:val="88"/>
              </w:rPr>
              <w:t>10.5†</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r>
      <w:tr>
        <w:trPr>
          <w:trHeight w:val="324"/>
        </w:trPr>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w w:val="88"/>
              </w:rPr>
              <w:t>10.6†</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Form of employment agreement between the Registrant and each of its executive officers</w:t>
            </w:r>
          </w:p>
        </w:tc>
      </w:tr>
      <w:tr>
        <w:trPr>
          <w:trHeight w:val="310"/>
        </w:trPr>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w w:val="88"/>
              </w:rPr>
              <w:t>10.7†</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1"/>
              </w:rPr>
              <w:t>English translation of business operation agreement by and among Beijing Momo IT, Beijing Momo and its shareholders, dated</w:t>
            </w: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April 18, 2012, and confirmation letter by Yan Tang, dated June 9, 2014</w:t>
            </w:r>
          </w:p>
        </w:tc>
      </w:tr>
      <w:tr>
        <w:trPr>
          <w:trHeight w:val="310"/>
        </w:trPr>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w w:val="88"/>
              </w:rPr>
              <w:t>10.8†</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English translation of exclusive cooperation agreement by and between Beijing Momo IT and Beijing Momo, and a</w:t>
            </w: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supplemental agreement thereto dated August 31, 2014</w:t>
            </w:r>
          </w:p>
        </w:tc>
      </w:tr>
      <w:tr>
        <w:trPr>
          <w:trHeight w:val="310"/>
        </w:trPr>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w w:val="88"/>
              </w:rPr>
              <w:t>10.9†</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English translation of exclusive cooperation agreement by and between Beijing Momo IT and Chengdu Momo, and a</w:t>
            </w: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supplemental agreement thereto, dated August 31, 2014</w:t>
            </w:r>
          </w:p>
        </w:tc>
      </w:tr>
      <w:tr>
        <w:trPr>
          <w:trHeight w:val="310"/>
        </w:trPr>
        <w:tc>
          <w:tcPr>
            <w:tcW w:w="1560" w:type="dxa"/>
            <w:vAlign w:val="bottom"/>
            <w:gridSpan w:val="3"/>
          </w:tcPr>
          <w:p>
            <w:pPr>
              <w:spacing w:after="0"/>
              <w:rPr>
                <w:sz w:val="20"/>
                <w:szCs w:val="20"/>
                <w:color w:val="auto"/>
              </w:rPr>
            </w:pPr>
            <w:r>
              <w:rPr>
                <w:rFonts w:ascii="Arial" w:cs="Arial" w:eastAsia="Arial" w:hAnsi="Arial"/>
                <w:sz w:val="18"/>
                <w:szCs w:val="18"/>
                <w:color w:val="auto"/>
              </w:rPr>
              <w:t>10.10†</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4"/>
              </w:rPr>
              <w:t>Exclusive call option agreement by and among Beijing Momo IT, Beijing Momo and each of its shareholders, dated April 18,</w:t>
            </w: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2014</w:t>
            </w:r>
          </w:p>
        </w:tc>
      </w:tr>
      <w:tr>
        <w:trPr>
          <w:trHeight w:val="324"/>
        </w:trPr>
        <w:tc>
          <w:tcPr>
            <w:tcW w:w="1560" w:type="dxa"/>
            <w:vAlign w:val="bottom"/>
            <w:gridSpan w:val="3"/>
          </w:tcPr>
          <w:p>
            <w:pPr>
              <w:spacing w:after="0"/>
              <w:rPr>
                <w:sz w:val="20"/>
                <w:szCs w:val="20"/>
                <w:color w:val="auto"/>
              </w:rPr>
            </w:pPr>
            <w:r>
              <w:rPr>
                <w:rFonts w:ascii="Arial" w:cs="Arial" w:eastAsia="Arial" w:hAnsi="Arial"/>
                <w:sz w:val="18"/>
                <w:szCs w:val="18"/>
                <w:color w:val="auto"/>
              </w:rPr>
              <w:t>10.11†</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Power of attorney by each shareholder of Beijing Momo, dated April 18, 2014</w:t>
            </w:r>
          </w:p>
        </w:tc>
      </w:tr>
      <w:tr>
        <w:trPr>
          <w:trHeight w:val="310"/>
        </w:trPr>
        <w:tc>
          <w:tcPr>
            <w:tcW w:w="1560" w:type="dxa"/>
            <w:vAlign w:val="bottom"/>
            <w:gridSpan w:val="3"/>
          </w:tcPr>
          <w:p>
            <w:pPr>
              <w:spacing w:after="0"/>
              <w:rPr>
                <w:sz w:val="20"/>
                <w:szCs w:val="20"/>
                <w:color w:val="auto"/>
              </w:rPr>
            </w:pPr>
            <w:r>
              <w:rPr>
                <w:rFonts w:ascii="Arial" w:cs="Arial" w:eastAsia="Arial" w:hAnsi="Arial"/>
                <w:sz w:val="18"/>
                <w:szCs w:val="18"/>
                <w:color w:val="auto"/>
              </w:rPr>
              <w:t>10.12†</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3"/>
              </w:rPr>
              <w:t>Equity interest pledge agreement by and among Beijing Momo IT, Beijing Momo and each of its shareholders, dated April 18,</w:t>
            </w: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2014</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860" w:type="dxa"/>
            <w:vAlign w:val="bottom"/>
            <w:gridSpan w:val="2"/>
          </w:tcPr>
          <w:p>
            <w:pPr>
              <w:ind w:left="560"/>
              <w:spacing w:after="0"/>
              <w:rPr>
                <w:sz w:val="20"/>
                <w:szCs w:val="20"/>
                <w:color w:val="auto"/>
              </w:rPr>
            </w:pPr>
            <w:r>
              <w:rPr>
                <w:rFonts w:ascii="Arial" w:cs="Arial" w:eastAsia="Arial" w:hAnsi="Arial"/>
                <w:sz w:val="14"/>
                <w:szCs w:val="14"/>
                <w:b w:val="1"/>
                <w:bCs w:val="1"/>
                <w:color w:val="auto"/>
              </w:rPr>
              <w:t>Description of Document</w:t>
            </w:r>
          </w:p>
        </w:tc>
      </w:tr>
      <w:tr>
        <w:trPr>
          <w:trHeight w:val="224"/>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10.13†</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Spousal consent letter by the spouse of each of Yong Li, Zhiwei Li and Yan Tang</w:t>
            </w: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10.14†</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Shareholder confirmation letter by each of the shareholders of Beijing Momo, dated April 18, 2014</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10.15†</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Subscription agreement by and between the Registrant and 58.com Inc., dated November 28, 2014</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10.16†</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Subscription agreement by and between the Registrant and Alibaba Investment Limited, dated November 28, 2014</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21.1†</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List of principal subsidiaries and consolidated entities of the Registrant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w w:val="95"/>
              </w:rPr>
              <w:t>Consent of Deloitte Touche Tohmatsu Certified Public Accountants LLP, an independent registered public accounting firm</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Consent of Maples and Calder (included in Exhibit 5.1)</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23.3†</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Consent of Han Kun Law Offices (included in Exhibit 99.2)</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24.1†</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Powers of attorney (included on the signature page)</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99.1†</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Code of business conduct and ethics of the Registrant</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99.2†</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Opinion of Han Kun Law Offices regarding certain PRC law matters</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99.3†</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Consent of Analysys International</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99.4†</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Consent of Benson Bing Chung Tam, an independent director appointee</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99.5†</w:t>
            </w:r>
          </w:p>
        </w:tc>
        <w:tc>
          <w:tcPr>
            <w:tcW w:w="9860" w:type="dxa"/>
            <w:vAlign w:val="bottom"/>
            <w:gridSpan w:val="2"/>
          </w:tcPr>
          <w:p>
            <w:pPr>
              <w:ind w:left="560"/>
              <w:spacing w:after="0"/>
              <w:rPr>
                <w:sz w:val="20"/>
                <w:szCs w:val="20"/>
                <w:color w:val="auto"/>
              </w:rPr>
            </w:pPr>
            <w:r>
              <w:rPr>
                <w:rFonts w:ascii="Arial" w:cs="Arial" w:eastAsia="Arial" w:hAnsi="Arial"/>
                <w:sz w:val="18"/>
                <w:szCs w:val="18"/>
                <w:color w:val="auto"/>
              </w:rPr>
              <w:t>Consent of Dave Daqing Qi, an independent director appointee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32,000,000 ORDINARY SHARES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MOMO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ORDINARY SHARES, PAR VALUE US$0.0001 PER SHARE</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THE FORM OF AMERICAN DEPOSITARY SHARES</w:t>
      </w:r>
    </w:p>
    <w:p>
      <w:pPr>
        <w:spacing w:after="0" w:line="20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UNDERWRITING AGREEMENT</w:t>
      </w:r>
    </w:p>
    <w:p>
      <w:pPr>
        <w:sectPr>
          <w:pgSz w:w="11900" w:h="16838" w:orient="portrait"/>
          <w:cols w:equalWidth="0" w:num="1">
            <w:col w:w="10220"/>
          </w:cols>
          <w:pgMar w:left="1440" w:top="122" w:right="239" w:bottom="1440" w:gutter="0" w:footer="0" w:header="0"/>
        </w:sectPr>
      </w:pPr>
    </w:p>
    <w:bookmarkStart w:id="273" w:name="page274"/>
    <w:bookmarkEnd w:id="273"/>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Cabot Square, 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4QA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China Renaissance Securities (Hong Kong)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 901, Agricultural Bank of China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Connaught Road Central,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 in Schedule I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Momo Inc., an exempted company incorporated with limited liability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Underwriters named in Schedule I hereto (the “</w:t>
      </w:r>
      <w:r>
        <w:rPr>
          <w:rFonts w:ascii="Arial" w:cs="Arial" w:eastAsia="Arial" w:hAnsi="Arial"/>
          <w:sz w:val="18"/>
          <w:szCs w:val="18"/>
          <w:b w:val="1"/>
          <w:bCs w:val="1"/>
          <w:color w:val="auto"/>
        </w:rPr>
        <w:t>Underwriters</w:t>
      </w:r>
      <w:r>
        <w:rPr>
          <w:rFonts w:ascii="Arial" w:cs="Arial" w:eastAsia="Arial" w:hAnsi="Arial"/>
          <w:sz w:val="18"/>
          <w:szCs w:val="18"/>
          <w:color w:val="auto"/>
        </w:rPr>
        <w:t>”) an aggregate of 32,000,000 ordinary shares, par value US$0.0001 per share, of the Company (the “</w:t>
      </w:r>
      <w:r>
        <w:rPr>
          <w:rFonts w:ascii="Arial" w:cs="Arial" w:eastAsia="Arial" w:hAnsi="Arial"/>
          <w:sz w:val="18"/>
          <w:szCs w:val="18"/>
          <w:b w:val="1"/>
          <w:bCs w:val="1"/>
          <w:color w:val="auto"/>
        </w:rPr>
        <w:t>Firm Shares</w:t>
      </w:r>
      <w:r>
        <w:rPr>
          <w:rFonts w:ascii="Arial" w:cs="Arial" w:eastAsia="Arial" w:hAnsi="Arial"/>
          <w:sz w:val="18"/>
          <w:szCs w:val="18"/>
          <w:color w:val="auto"/>
        </w:rPr>
        <w:t>”) in the form of 16,000,000 American Depositary Shares (as defined below).</w:t>
      </w:r>
    </w:p>
    <w:p>
      <w:pPr>
        <w:spacing w:after="0" w:line="18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also proposes to issue and sell to the several Underwriters not more than an additional 4,800,000 ordinary shares, par value US$0.0001 per share, of the Company (the “</w:t>
      </w:r>
      <w:r>
        <w:rPr>
          <w:rFonts w:ascii="Arial" w:cs="Arial" w:eastAsia="Arial" w:hAnsi="Arial"/>
          <w:sz w:val="18"/>
          <w:szCs w:val="18"/>
          <w:b w:val="1"/>
          <w:bCs w:val="1"/>
          <w:color w:val="auto"/>
        </w:rPr>
        <w:t>Additional Shares</w:t>
      </w:r>
      <w:r>
        <w:rPr>
          <w:rFonts w:ascii="Arial" w:cs="Arial" w:eastAsia="Arial" w:hAnsi="Arial"/>
          <w:sz w:val="18"/>
          <w:szCs w:val="18"/>
          <w:color w:val="auto"/>
        </w:rPr>
        <w:t>”) in the form of 2,400,000 American Depositary Shares, if and to the extent that Morgan Stanley &amp; Co. International plc, Credit Suisse Securities (USA) LLC, J.P. Morgan Securities LLC and China Renaissance Securities (Hong Kong) Limited, as representatives of the Underwriters (collectively, the “</w:t>
      </w:r>
      <w:r>
        <w:rPr>
          <w:rFonts w:ascii="Arial" w:cs="Arial" w:eastAsia="Arial" w:hAnsi="Arial"/>
          <w:sz w:val="18"/>
          <w:szCs w:val="18"/>
          <w:b w:val="1"/>
          <w:bCs w:val="1"/>
          <w:color w:val="auto"/>
        </w:rPr>
        <w:t>Representatives</w:t>
      </w:r>
      <w:r>
        <w:rPr>
          <w:rFonts w:ascii="Arial" w:cs="Arial" w:eastAsia="Arial" w:hAnsi="Arial"/>
          <w:sz w:val="18"/>
          <w:szCs w:val="18"/>
          <w:color w:val="auto"/>
        </w:rPr>
        <w:t>”), exercise, on behalf of the Underwriters, the right to purchase such Additional Shares granted to the Underwriters in Section 2 hereof. The Firm Shares and the Additional Shares are hereinafter collectively referred to as the “</w:t>
      </w:r>
      <w:r>
        <w:rPr>
          <w:rFonts w:ascii="Arial" w:cs="Arial" w:eastAsia="Arial" w:hAnsi="Arial"/>
          <w:sz w:val="18"/>
          <w:szCs w:val="18"/>
          <w:b w:val="1"/>
          <w:bCs w:val="1"/>
          <w:color w:val="auto"/>
        </w:rPr>
        <w:t>Shares</w:t>
      </w:r>
      <w:r>
        <w:rPr>
          <w:rFonts w:ascii="Arial" w:cs="Arial" w:eastAsia="Arial" w:hAnsi="Arial"/>
          <w:sz w:val="18"/>
          <w:szCs w:val="18"/>
          <w:color w:val="auto"/>
        </w:rPr>
        <w:t>.” The ordinary shares, par value US$0.0001 per share, of the Company to be outstanding after giving effect to the sales contemplated hereby are hereinafter referred to as the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will take delivery of the Shares in the form of American Depositary Shares (the “</w:t>
      </w:r>
      <w:r>
        <w:rPr>
          <w:rFonts w:ascii="Arial" w:cs="Arial" w:eastAsia="Arial" w:hAnsi="Arial"/>
          <w:sz w:val="16"/>
          <w:szCs w:val="16"/>
          <w:b w:val="1"/>
          <w:bCs w:val="1"/>
          <w:color w:val="auto"/>
        </w:rPr>
        <w:t>American Depositary Shares</w:t>
      </w:r>
      <w:r>
        <w:rPr>
          <w:rFonts w:ascii="Arial" w:cs="Arial" w:eastAsia="Arial" w:hAnsi="Arial"/>
          <w:sz w:val="16"/>
          <w:szCs w:val="16"/>
          <w:color w:val="auto"/>
        </w:rPr>
        <w:t>” or “</w:t>
      </w:r>
      <w:r>
        <w:rPr>
          <w:rFonts w:ascii="Arial" w:cs="Arial" w:eastAsia="Arial" w:hAnsi="Arial"/>
          <w:sz w:val="16"/>
          <w:szCs w:val="16"/>
          <w:b w:val="1"/>
          <w:bCs w:val="1"/>
          <w:color w:val="auto"/>
        </w:rPr>
        <w:t>ADSs</w:t>
      </w:r>
      <w:r>
        <w:rPr>
          <w:rFonts w:ascii="Arial" w:cs="Arial" w:eastAsia="Arial" w:hAnsi="Arial"/>
          <w:sz w:val="16"/>
          <w:szCs w:val="16"/>
          <w:color w:val="auto"/>
        </w:rPr>
        <w:t>”). The</w:t>
      </w:r>
    </w:p>
    <w:p>
      <w:pPr>
        <w:spacing w:after="0" w:line="5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American Depositary Shares are to be issued pursuant to a Deposit Agreement dated as of , 2014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the Company, Deutsche Bank Trust Company Americas, as Depositary (the “</w:t>
      </w:r>
      <w:r>
        <w:rPr>
          <w:rFonts w:ascii="Arial" w:cs="Arial" w:eastAsia="Arial" w:hAnsi="Arial"/>
          <w:sz w:val="18"/>
          <w:szCs w:val="18"/>
          <w:b w:val="1"/>
          <w:bCs w:val="1"/>
          <w:color w:val="auto"/>
        </w:rPr>
        <w:t>Depositary</w:t>
      </w:r>
      <w:r>
        <w:rPr>
          <w:rFonts w:ascii="Arial" w:cs="Arial" w:eastAsia="Arial" w:hAnsi="Arial"/>
          <w:sz w:val="18"/>
          <w:szCs w:val="18"/>
          <w:color w:val="auto"/>
        </w:rPr>
        <w:t>”), and the owners and holders from time to time of the American Depositary Shares issued under the Deposit Agreement. Each American Depositary Share will initially represent the right to receive two Ordinary Shares deposited pursuant to the Deposit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74" w:name="page275"/>
    <w:bookmarkEnd w:id="274"/>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Shares and a registration statement relating to the American Depositary Shares. The registration statement relating to the Shares, as amended at the time it becomes effective, including the information (if any) deemed to be part of the registration statement at the time of effectiveness pursuant to Rule 430A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The registration statement relating to the American Depositary Shares, as amended at the time it becomes effective, is hereinafter referred to as the “</w:t>
      </w:r>
      <w:r>
        <w:rPr>
          <w:rFonts w:ascii="Arial" w:cs="Arial" w:eastAsia="Arial" w:hAnsi="Arial"/>
          <w:sz w:val="17"/>
          <w:szCs w:val="17"/>
          <w:b w:val="1"/>
          <w:bCs w:val="1"/>
          <w:color w:val="auto"/>
        </w:rPr>
        <w:t>ADS Registration Statement</w:t>
      </w:r>
      <w:r>
        <w:rPr>
          <w:rFonts w:ascii="Arial" w:cs="Arial" w:eastAsia="Arial" w:hAnsi="Arial"/>
          <w:sz w:val="17"/>
          <w:szCs w:val="17"/>
          <w:color w:val="auto"/>
        </w:rPr>
        <w:t>.” If the Company has filed abbreviated registration statements to register additional Ordinary Shares or American Depositary Shares pursuant to Rule 462(b) under the Securities Act (the “</w:t>
      </w:r>
      <w:r>
        <w:rPr>
          <w:rFonts w:ascii="Arial" w:cs="Arial" w:eastAsia="Arial" w:hAnsi="Arial"/>
          <w:sz w:val="17"/>
          <w:szCs w:val="17"/>
          <w:b w:val="1"/>
          <w:bCs w:val="1"/>
          <w:color w:val="auto"/>
        </w:rPr>
        <w:t>Rule 462 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 then any reference herein to the terms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w:t>
      </w:r>
      <w:r>
        <w:rPr>
          <w:rFonts w:ascii="Arial" w:cs="Arial" w:eastAsia="Arial" w:hAnsi="Arial"/>
          <w:sz w:val="17"/>
          <w:szCs w:val="17"/>
          <w:b w:val="1"/>
          <w:bCs w:val="1"/>
          <w:color w:val="auto"/>
        </w:rPr>
        <w:t>ADS Registration Statement</w:t>
      </w:r>
      <w:r>
        <w:rPr>
          <w:rFonts w:ascii="Arial" w:cs="Arial" w:eastAsia="Arial" w:hAnsi="Arial"/>
          <w:sz w:val="17"/>
          <w:szCs w:val="17"/>
          <w:color w:val="auto"/>
        </w:rPr>
        <w:t>” shall be deemed to include the</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Rule 462 Registration Statement. The Company has filed, in accordance with Section 12 of the U.S.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 registration statement on Form 8-A to register the Shares and the American Depositary Shares (the “</w:t>
      </w:r>
      <w:r>
        <w:rPr>
          <w:rFonts w:ascii="Arial" w:cs="Arial" w:eastAsia="Arial" w:hAnsi="Arial"/>
          <w:sz w:val="17"/>
          <w:szCs w:val="17"/>
          <w:b w:val="1"/>
          <w:bCs w:val="1"/>
          <w:color w:val="auto"/>
        </w:rPr>
        <w:t>Form 8-A</w:t>
      </w:r>
      <w:r>
        <w:rPr>
          <w:rFonts w:ascii="Arial" w:cs="Arial" w:eastAsia="Arial" w:hAnsi="Arial"/>
          <w:sz w:val="17"/>
          <w:szCs w:val="17"/>
          <w:color w:val="auto"/>
        </w:rPr>
        <w:t xml:space="preserve">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80"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preliminary prospectus together with the documents and pricing information set forth in Schedule II hereto, and a “</w:t>
      </w:r>
      <w:r>
        <w:rPr>
          <w:rFonts w:ascii="Arial" w:cs="Arial" w:eastAsia="Arial" w:hAnsi="Arial"/>
          <w:sz w:val="17"/>
          <w:szCs w:val="17"/>
          <w:b w:val="1"/>
          <w:bCs w:val="1"/>
          <w:color w:val="auto"/>
        </w:rPr>
        <w:t>bona fide electronic road</w:t>
      </w:r>
      <w:r>
        <w:rPr>
          <w:rFonts w:ascii="Arial" w:cs="Arial" w:eastAsia="Arial" w:hAnsi="Arial"/>
          <w:sz w:val="17"/>
          <w:szCs w:val="17"/>
          <w:color w:val="auto"/>
        </w:rPr>
        <w:t xml:space="preserve"> </w:t>
      </w:r>
      <w:r>
        <w:rPr>
          <w:rFonts w:ascii="Arial" w:cs="Arial" w:eastAsia="Arial" w:hAnsi="Arial"/>
          <w:sz w:val="17"/>
          <w:szCs w:val="17"/>
          <w:b w:val="1"/>
          <w:bCs w:val="1"/>
          <w:color w:val="auto"/>
        </w:rPr>
        <w:t>show</w:t>
      </w:r>
      <w:r>
        <w:rPr>
          <w:rFonts w:ascii="Arial" w:cs="Arial" w:eastAsia="Arial" w:hAnsi="Arial"/>
          <w:sz w:val="17"/>
          <w:szCs w:val="17"/>
          <w:color w:val="auto"/>
        </w:rPr>
        <w:t>” is as defined in Rule 433(h)(5) under the Securities Act that has been made available without restriction to any person.</w:t>
      </w:r>
    </w:p>
    <w:p>
      <w:pPr>
        <w:spacing w:after="0" w:line="158" w:lineRule="exact"/>
        <w:rPr>
          <w:sz w:val="20"/>
          <w:szCs w:val="20"/>
          <w:color w:val="auto"/>
        </w:rPr>
      </w:pPr>
    </w:p>
    <w:p>
      <w:pPr>
        <w:ind w:right="60" w:firstLine="456"/>
        <w:spacing w:after="0" w:line="295" w:lineRule="auto"/>
        <w:rPr>
          <w:sz w:val="20"/>
          <w:szCs w:val="20"/>
          <w:color w:val="auto"/>
        </w:rPr>
      </w:pPr>
      <w:r>
        <w:rPr>
          <w:rFonts w:ascii="Arial" w:cs="Arial" w:eastAsia="Arial" w:hAnsi="Arial"/>
          <w:sz w:val="16"/>
          <w:szCs w:val="16"/>
          <w:color w:val="auto"/>
        </w:rPr>
        <w:t>Morgan Stanley &amp; Co. International plc (the “</w:t>
      </w:r>
      <w:r>
        <w:rPr>
          <w:rFonts w:ascii="Arial" w:cs="Arial" w:eastAsia="Arial" w:hAnsi="Arial"/>
          <w:sz w:val="16"/>
          <w:szCs w:val="16"/>
          <w:b w:val="1"/>
          <w:bCs w:val="1"/>
          <w:color w:val="auto"/>
        </w:rPr>
        <w:t>Designated Underwriter</w:t>
      </w:r>
      <w:r>
        <w:rPr>
          <w:rFonts w:ascii="Arial" w:cs="Arial" w:eastAsia="Arial" w:hAnsi="Arial"/>
          <w:sz w:val="16"/>
          <w:szCs w:val="16"/>
          <w:color w:val="auto"/>
        </w:rPr>
        <w:t>”) agrees to reserve a portion of the American Depositary Shares to be purchased by it or its affiliates under this Agreement for sale to the Company’s directors, officers, employees and business associates and other parties related to the Company (collectively, “</w:t>
      </w:r>
      <w:r>
        <w:rPr>
          <w:rFonts w:ascii="Arial" w:cs="Arial" w:eastAsia="Arial" w:hAnsi="Arial"/>
          <w:sz w:val="16"/>
          <w:szCs w:val="16"/>
          <w:b w:val="1"/>
          <w:bCs w:val="1"/>
          <w:color w:val="auto"/>
        </w:rPr>
        <w:t>Participants</w:t>
      </w:r>
      <w:r>
        <w:rPr>
          <w:rFonts w:ascii="Arial" w:cs="Arial" w:eastAsia="Arial" w:hAnsi="Arial"/>
          <w:sz w:val="16"/>
          <w:szCs w:val="16"/>
          <w:color w:val="auto"/>
        </w:rPr>
        <w:t>”), as set forth in the Prospectus under the heading “Underwriting” (the “</w:t>
      </w:r>
      <w:r>
        <w:rPr>
          <w:rFonts w:ascii="Arial" w:cs="Arial" w:eastAsia="Arial" w:hAnsi="Arial"/>
          <w:sz w:val="16"/>
          <w:szCs w:val="16"/>
          <w:b w:val="1"/>
          <w:bCs w:val="1"/>
          <w:color w:val="auto"/>
        </w:rPr>
        <w:t>Directed Share Program</w:t>
      </w:r>
      <w:r>
        <w:rPr>
          <w:rFonts w:ascii="Arial" w:cs="Arial" w:eastAsia="Arial" w:hAnsi="Arial"/>
          <w:sz w:val="16"/>
          <w:szCs w:val="16"/>
          <w:color w:val="auto"/>
        </w:rPr>
        <w:t>”). The American Depositary Shares to be sold by the Designated Underwriter and its affiliates pursuant to the Directed Share Program are referred to hereinafter as the “</w:t>
      </w:r>
      <w:r>
        <w:rPr>
          <w:rFonts w:ascii="Arial" w:cs="Arial" w:eastAsia="Arial" w:hAnsi="Arial"/>
          <w:sz w:val="16"/>
          <w:szCs w:val="16"/>
          <w:b w:val="1"/>
          <w:bCs w:val="1"/>
          <w:color w:val="auto"/>
        </w:rPr>
        <w:t>Directed American Depositary Shares</w:t>
      </w:r>
      <w:r>
        <w:rPr>
          <w:rFonts w:ascii="Arial" w:cs="Arial" w:eastAsia="Arial" w:hAnsi="Arial"/>
          <w:sz w:val="16"/>
          <w:szCs w:val="16"/>
          <w:color w:val="auto"/>
        </w:rPr>
        <w:t>.” Any Directed American Depositary Shares not orally confirmed for purchase by any Participant by the end of the business day on which this Agreement is executed will be offered to the public by the Underwriters as set forth in the Prospectus.</w:t>
      </w:r>
    </w:p>
    <w:p>
      <w:pPr>
        <w:spacing w:after="0" w:line="264" w:lineRule="exact"/>
        <w:rPr>
          <w:sz w:val="20"/>
          <w:szCs w:val="20"/>
          <w:color w:val="auto"/>
        </w:rPr>
      </w:pPr>
    </w:p>
    <w:p>
      <w:pPr>
        <w:ind w:left="640" w:hanging="176"/>
        <w:spacing w:after="0"/>
        <w:tabs>
          <w:tab w:leader="none" w:pos="640" w:val="left"/>
        </w:tabs>
        <w:numPr>
          <w:ilvl w:val="0"/>
          <w:numId w:val="209"/>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and Warranties</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and agrees with each of the Underwriters that:</w:t>
      </w:r>
    </w:p>
    <w:p>
      <w:pPr>
        <w:spacing w:after="0" w:line="225" w:lineRule="exact"/>
        <w:rPr>
          <w:sz w:val="20"/>
          <w:szCs w:val="20"/>
          <w:color w:val="auto"/>
        </w:rPr>
      </w:pPr>
    </w:p>
    <w:p>
      <w:pPr>
        <w:ind w:firstLine="464"/>
        <w:spacing w:after="0" w:line="259" w:lineRule="auto"/>
        <w:tabs>
          <w:tab w:leader="none" w:pos="701"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Each of the Registration Statement and the ADS Registration Statement has become effective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no stop order suspending the effectiveness of the Registration Statement or the ADS Registration Statement is in effect, and no proceedings for such purpose are pending before or threatened by the Commission. The Form 8-A Registration Statement has become effective as provided in Section 12 of the Exchange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75" w:name="page276"/>
    <w:bookmarkEnd w:id="275"/>
    <w:p>
      <w:pPr>
        <w:ind w:firstLine="464"/>
        <w:spacing w:after="0" w:line="286" w:lineRule="auto"/>
        <w:tabs>
          <w:tab w:leader="none" w:pos="711"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Compliance with Securities Law. </w:t>
      </w:r>
      <w:r>
        <w:rPr>
          <w:rFonts w:ascii="Arial" w:cs="Arial" w:eastAsia="Arial" w:hAnsi="Arial"/>
          <w:sz w:val="16"/>
          <w:szCs w:val="16"/>
          <w:color w:val="auto"/>
        </w:rPr>
        <w:t>(i) Each of the Registration Statement and the ADS Registration Statement, when it became effective, did not</w:t>
      </w:r>
      <w:r>
        <w:rPr>
          <w:rFonts w:ascii="Arial" w:cs="Arial" w:eastAsia="Arial" w:hAnsi="Arial"/>
          <w:sz w:val="16"/>
          <w:szCs w:val="16"/>
          <w:i w:val="1"/>
          <w:iCs w:val="1"/>
          <w:color w:val="auto"/>
        </w:rPr>
        <w:t xml:space="preserve"> </w:t>
      </w:r>
      <w:r>
        <w:rPr>
          <w:rFonts w:ascii="Arial" w:cs="Arial" w:eastAsia="Arial" w:hAnsi="Arial"/>
          <w:sz w:val="16"/>
          <w:szCs w:val="16"/>
          <w:color w:val="auto"/>
        </w:rPr>
        <w:t>contain and, as amended or supplemented, if applicable, will not contain any untrue statement of a material fact or omit to state a material fact required to be stated therein or necessary to make the statements therein not misleading, (ii) the Registration Statement, the ADS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American Depositary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bona fide electronic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furnished to the Company in writing by such Underwriter through the Representatives expressly for use therein, it being understood and agreed that the only such information furnished by any Underwriter consists of the Underwriter Information described as such in Section 9(b) hereof.</w:t>
      </w:r>
    </w:p>
    <w:p>
      <w:pPr>
        <w:spacing w:after="0" w:line="168" w:lineRule="exact"/>
        <w:rPr>
          <w:rFonts w:ascii="Arial" w:cs="Arial" w:eastAsia="Arial" w:hAnsi="Arial"/>
          <w:sz w:val="16"/>
          <w:szCs w:val="16"/>
          <w:color w:val="auto"/>
        </w:rPr>
      </w:pPr>
    </w:p>
    <w:p>
      <w:pPr>
        <w:ind w:right="40" w:firstLine="464"/>
        <w:spacing w:after="0" w:line="268" w:lineRule="auto"/>
        <w:tabs>
          <w:tab w:leader="none" w:pos="701" w:val="left"/>
        </w:tabs>
        <w:numPr>
          <w:ilvl w:val="0"/>
          <w:numId w:val="211"/>
        </w:numPr>
        <w:rPr>
          <w:rFonts w:ascii="Arial" w:cs="Arial" w:eastAsia="Arial" w:hAnsi="Arial"/>
          <w:sz w:val="17"/>
          <w:szCs w:val="17"/>
          <w:color w:val="auto"/>
        </w:rPr>
      </w:pPr>
      <w:r>
        <w:rPr>
          <w:rFonts w:ascii="Arial" w:cs="Arial" w:eastAsia="Arial" w:hAnsi="Arial"/>
          <w:sz w:val="17"/>
          <w:szCs w:val="17"/>
          <w:i w:val="1"/>
          <w:iCs w:val="1"/>
          <w:color w:val="auto"/>
        </w:rPr>
        <w:t xml:space="preserve">Ineligible Issuer Status and Issuer Free Writing Prospectus. </w:t>
      </w:r>
      <w:r>
        <w:rPr>
          <w:rFonts w:ascii="Arial" w:cs="Arial" w:eastAsia="Arial" w:hAnsi="Arial"/>
          <w:sz w:val="17"/>
          <w:szCs w:val="17"/>
          <w:color w:val="auto"/>
        </w:rPr>
        <w:t>The Company is not an “ineligible issuer” in connection with the offering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furnished to the Representatives before first use, the Company has not prepared, used or referred to, and will not, without the prior consent of the Representatives, prepare, use or refer to, any free writing prospectus. The Company has satisfied and agrees that it will satisfy the conditions in Rule 433 to avoid a requirement to file with the Commission any electronic road show. As of the time of each sale of the American Depositary Shares in connection with the offering when the Prospectus is not yet available to prospective purchasers, no free writing prospectuses,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76" w:name="page277"/>
    <w:bookmarkEnd w:id="276"/>
    <w:p>
      <w:pPr>
        <w:ind w:left="-20" w:right="40" w:firstLine="464"/>
        <w:spacing w:after="0" w:line="269" w:lineRule="auto"/>
        <w:tabs>
          <w:tab w:leader="none" w:pos="691" w:val="left"/>
        </w:tabs>
        <w:numPr>
          <w:ilvl w:val="1"/>
          <w:numId w:val="21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Testing-the-Waters Communication. </w:t>
      </w:r>
      <w:r>
        <w:rPr>
          <w:rFonts w:ascii="Arial" w:cs="Arial" w:eastAsia="Arial" w:hAnsi="Arial"/>
          <w:sz w:val="17"/>
          <w:szCs w:val="17"/>
          <w:color w:val="auto"/>
        </w:rPr>
        <w:t>(A) From the time of initial confidential submission of the Registration Statement to the Commission (or, if</w:t>
      </w:r>
      <w:r>
        <w:rPr>
          <w:rFonts w:ascii="Arial" w:cs="Arial" w:eastAsia="Arial" w:hAnsi="Arial"/>
          <w:sz w:val="17"/>
          <w:szCs w:val="17"/>
          <w:i w:val="1"/>
          <w:iCs w:val="1"/>
          <w:color w:val="auto"/>
        </w:rPr>
        <w:t xml:space="preserve"> </w:t>
      </w:r>
      <w:r>
        <w:rPr>
          <w:rFonts w:ascii="Arial" w:cs="Arial" w:eastAsia="Arial" w:hAnsi="Arial"/>
          <w:sz w:val="17"/>
          <w:szCs w:val="17"/>
          <w:color w:val="auto"/>
        </w:rPr>
        <w:t>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7"/>
          <w:szCs w:val="17"/>
          <w:b w:val="1"/>
          <w:bCs w:val="1"/>
          <w:color w:val="auto"/>
        </w:rPr>
        <w:t>Emerging</w:t>
      </w:r>
      <w:r>
        <w:rPr>
          <w:rFonts w:ascii="Arial" w:cs="Arial" w:eastAsia="Arial" w:hAnsi="Arial"/>
          <w:sz w:val="17"/>
          <w:szCs w:val="17"/>
          <w:color w:val="auto"/>
        </w:rPr>
        <w:t xml:space="preserve"> </w:t>
      </w:r>
      <w:r>
        <w:rPr>
          <w:rFonts w:ascii="Arial" w:cs="Arial" w:eastAsia="Arial" w:hAnsi="Arial"/>
          <w:sz w:val="17"/>
          <w:szCs w:val="17"/>
          <w:b w:val="1"/>
          <w:bCs w:val="1"/>
          <w:color w:val="auto"/>
        </w:rPr>
        <w:t>Growth Company</w:t>
      </w:r>
      <w:r>
        <w:rPr>
          <w:rFonts w:ascii="Arial" w:cs="Arial" w:eastAsia="Arial" w:hAnsi="Arial"/>
          <w:sz w:val="17"/>
          <w:szCs w:val="17"/>
          <w:color w:val="auto"/>
        </w:rPr>
        <w:t>”).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oral or written communication with potential investors undertaken in reliance on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5(d) of the Securities Act. (B) 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(C) The Company has not distributed any Written Testing-the-Waters Communications. “</w:t>
      </w:r>
      <w:r>
        <w:rPr>
          <w:rFonts w:ascii="Arial" w:cs="Arial" w:eastAsia="Arial" w:hAnsi="Arial"/>
          <w:sz w:val="17"/>
          <w:szCs w:val="17"/>
          <w:b w:val="1"/>
          <w:bCs w:val="1"/>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 under the Securities Act.</w:t>
      </w:r>
    </w:p>
    <w:p>
      <w:pPr>
        <w:spacing w:after="0" w:line="88" w:lineRule="exact"/>
        <w:rPr>
          <w:rFonts w:ascii="Arial" w:cs="Arial" w:eastAsia="Arial" w:hAnsi="Arial"/>
          <w:sz w:val="17"/>
          <w:szCs w:val="17"/>
          <w:color w:val="auto"/>
        </w:rPr>
      </w:pPr>
    </w:p>
    <w:p>
      <w:pPr>
        <w:ind w:left="880" w:hanging="446"/>
        <w:spacing w:after="0" w:line="284" w:lineRule="auto"/>
        <w:tabs>
          <w:tab w:leader="none" w:pos="880"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Good Standing of the Company. </w:t>
      </w:r>
      <w:r>
        <w:rPr>
          <w:rFonts w:ascii="Arial" w:cs="Arial" w:eastAsia="Arial" w:hAnsi="Arial"/>
          <w:sz w:val="16"/>
          <w:szCs w:val="16"/>
          <w:color w:val="auto"/>
        </w:rPr>
        <w:t>The Company has been duly incorporated, is validly existing as an exempted company with limited liability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good standing under the laws of the Cayman Islands,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would not have a Material Adverse Effect. A “Material Adverse Effect” means a material adverse effect on the condition (financial or otherwise), earnings, results of operations, business or prospects of the Company and its Subsidiaries and Affiliated Entities, taken as a whole, or on the ability of the Company and its Subsidiaries and Affiliated Entities to carry out their obligations under this Agreement and the Deposit Agreement. The currently effective memorandum and articles of association or other constitutive or organizational documents of the Company comply with</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requirements of applicable Cayman Islands law and are in full force and effect. The amended and restated memorandum and articles of</w:t>
      </w:r>
    </w:p>
    <w:p>
      <w:pPr>
        <w:spacing w:after="0" w:line="21" w:lineRule="exact"/>
        <w:rPr>
          <w:sz w:val="20"/>
          <w:szCs w:val="20"/>
          <w:color w:val="auto"/>
        </w:rPr>
      </w:pPr>
    </w:p>
    <w:p>
      <w:pPr>
        <w:ind w:left="880" w:right="60"/>
        <w:spacing w:after="0" w:line="271" w:lineRule="auto"/>
        <w:rPr>
          <w:sz w:val="20"/>
          <w:szCs w:val="20"/>
          <w:color w:val="auto"/>
        </w:rPr>
      </w:pPr>
      <w:r>
        <w:rPr>
          <w:rFonts w:ascii="Arial" w:cs="Arial" w:eastAsia="Arial" w:hAnsi="Arial"/>
          <w:sz w:val="17"/>
          <w:szCs w:val="17"/>
          <w:color w:val="auto"/>
        </w:rPr>
        <w:t>association of the Company adopted on , 2014, filed as Exhibit 3.2 to the Registration Statement, comply with the requirements of applicable Cayman Islands laws and, immediately following closing on the Closing Date of the American Depositary Shares offered and sold hereunder, will be in full force and effect. Complete and correct copies of all constitutive documents of the Company and all amendments thereto have been delivered to the Representatives; except as set forth in the exhibits to the Registration Statement, no change will be made to any such constitutive documents on or after the date of this Agreement through and including the Closing 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4" w:right="239" w:bottom="1440" w:gutter="0" w:footer="0" w:header="0"/>
        </w:sectPr>
      </w:pPr>
    </w:p>
    <w:bookmarkStart w:id="277" w:name="page278"/>
    <w:bookmarkEnd w:id="2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 </w:t>
      </w:r>
      <w:r>
        <w:rPr>
          <w:rFonts w:ascii="Arial" w:cs="Arial" w:eastAsia="Arial" w:hAnsi="Arial"/>
          <w:sz w:val="18"/>
          <w:szCs w:val="18"/>
          <w:i w:val="1"/>
          <w:iCs w:val="1"/>
          <w:color w:val="auto"/>
        </w:rPr>
        <w:t>Subsidiaries and Affiliated Entities.</w:t>
      </w:r>
      <w:r>
        <w:rPr>
          <w:rFonts w:ascii="Arial" w:cs="Arial" w:eastAsia="Arial" w:hAnsi="Arial"/>
          <w:sz w:val="18"/>
          <w:szCs w:val="18"/>
          <w:color w:val="auto"/>
        </w:rPr>
        <w:t xml:space="preserve"> Each of the Company’s direct and indirect subsidiaries (each a “</w:t>
      </w:r>
      <w:r>
        <w:rPr>
          <w:rFonts w:ascii="Arial" w:cs="Arial" w:eastAsia="Arial" w:hAnsi="Arial"/>
          <w:sz w:val="18"/>
          <w:szCs w:val="18"/>
          <w:b w:val="1"/>
          <w:bCs w:val="1"/>
          <w:color w:val="auto"/>
        </w:rPr>
        <w:t>Subsidiary</w:t>
      </w:r>
      <w:r>
        <w:rPr>
          <w:rFonts w:ascii="Arial" w:cs="Arial" w:eastAsia="Arial" w:hAnsi="Arial"/>
          <w:sz w:val="18"/>
          <w:szCs w:val="18"/>
          <w:color w:val="auto"/>
        </w:rPr>
        <w:t>” and collectively,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Subsidiaries</w:t>
      </w:r>
      <w:r>
        <w:rPr>
          <w:rFonts w:ascii="Arial" w:cs="Arial" w:eastAsia="Arial" w:hAnsi="Arial"/>
          <w:sz w:val="16"/>
          <w:szCs w:val="16"/>
          <w:color w:val="auto"/>
        </w:rPr>
        <w:t>”) has been identified on Schedule III-A hereto, and each of the entities through which the Company conducts its operations in the People’s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Republic of China (“</w:t>
      </w:r>
      <w:r>
        <w:rPr>
          <w:rFonts w:ascii="Arial" w:cs="Arial" w:eastAsia="Arial" w:hAnsi="Arial"/>
          <w:sz w:val="16"/>
          <w:szCs w:val="16"/>
          <w:b w:val="1"/>
          <w:bCs w:val="1"/>
          <w:color w:val="auto"/>
        </w:rPr>
        <w:t>PRC</w:t>
      </w:r>
      <w:r>
        <w:rPr>
          <w:rFonts w:ascii="Arial" w:cs="Arial" w:eastAsia="Arial" w:hAnsi="Arial"/>
          <w:sz w:val="16"/>
          <w:szCs w:val="16"/>
          <w:color w:val="auto"/>
        </w:rPr>
        <w:t>”) by way of contractual arrangements (each an “</w:t>
      </w:r>
      <w:r>
        <w:rPr>
          <w:rFonts w:ascii="Arial" w:cs="Arial" w:eastAsia="Arial" w:hAnsi="Arial"/>
          <w:sz w:val="16"/>
          <w:szCs w:val="16"/>
          <w:b w:val="1"/>
          <w:bCs w:val="1"/>
          <w:color w:val="auto"/>
        </w:rPr>
        <w:t>Affiliated Entity</w:t>
      </w:r>
      <w:r>
        <w:rPr>
          <w:rFonts w:ascii="Arial" w:cs="Arial" w:eastAsia="Arial" w:hAnsi="Arial"/>
          <w:sz w:val="16"/>
          <w:szCs w:val="16"/>
          <w:color w:val="auto"/>
        </w:rPr>
        <w:t>” and collectively, the “</w:t>
      </w:r>
      <w:r>
        <w:rPr>
          <w:rFonts w:ascii="Arial" w:cs="Arial" w:eastAsia="Arial" w:hAnsi="Arial"/>
          <w:sz w:val="16"/>
          <w:szCs w:val="16"/>
          <w:b w:val="1"/>
          <w:bCs w:val="1"/>
          <w:color w:val="auto"/>
        </w:rPr>
        <w:t>Affiliated Entities</w:t>
      </w:r>
      <w:r>
        <w:rPr>
          <w:rFonts w:ascii="Arial" w:cs="Arial" w:eastAsia="Arial" w:hAnsi="Arial"/>
          <w:sz w:val="16"/>
          <w:szCs w:val="16"/>
          <w:color w:val="auto"/>
        </w:rPr>
        <w:t>”) has been identified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Schedule III-B hereto. Each of the Subsidiaries and Affiliated Entities has been duly incorporated, is validly existing as a corporation in good 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the laws of the jurisdiction of its incorporation, has the corporate power and authority to own its property and to conduct its business as described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of Sale Prospectus, except to the extent that the failure to be so qualified would not have a Material Adverse Effect; all of the equity interests of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have been duly and validly authorized and issued, are owned directly or indirectly by the Company, are fully paid and non-assessable and, except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the Time of Sale Prospectus, are free and clear of all liens, encumbrances, equities or claims; all of the equity interests in each Affiliated Entity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duly and validly authorized and issued, are fully paid and non-assessable and are owned as described in the Time of Sale Prospectus, and, except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described in the Time of Sale Prospectus, free and clear of all liens, encumbrances, equities or claims. None of the outstanding share capital or equity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any Subsidiary was issued in violation of preemptive or similar rights of any securityholder of such Subsidiary. All of the constitutive or organizational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documents of each of the Subsidiaries and Affiliated Entities comply with the requirements of applicable laws of its jurisdiction of incorporation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organization and are in full force and effect. Apart from the Subsidiaries and Affiliated Entities, the Company has no direct or indirect subsidiaries or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company over which it has direct or indirect effective control.</w:t>
      </w:r>
    </w:p>
    <w:p>
      <w:pPr>
        <w:spacing w:after="0" w:line="359" w:lineRule="exact"/>
        <w:rPr>
          <w:sz w:val="20"/>
          <w:szCs w:val="20"/>
          <w:color w:val="auto"/>
        </w:rPr>
      </w:pPr>
    </w:p>
    <w:p>
      <w:pPr>
        <w:ind w:left="900" w:hanging="446"/>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VIE Agreements and Ownership Structure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20" w:firstLine="1"/>
        <w:spacing w:after="0" w:line="254" w:lineRule="auto"/>
        <w:tabs>
          <w:tab w:leader="none" w:pos="121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description of the corporate structure of the Company and each of the contracts among the Subsidiaries, the shareholders of the Affiliated Entities and the Affiliated Entities, as the case may be (each a “</w:t>
      </w:r>
      <w:r>
        <w:rPr>
          <w:rFonts w:ascii="Arial" w:cs="Arial" w:eastAsia="Arial" w:hAnsi="Arial"/>
          <w:sz w:val="18"/>
          <w:szCs w:val="18"/>
          <w:b w:val="1"/>
          <w:bCs w:val="1"/>
          <w:color w:val="auto"/>
        </w:rPr>
        <w:t>VIE Agreement</w:t>
      </w:r>
      <w:r>
        <w:rPr>
          <w:rFonts w:ascii="Arial" w:cs="Arial" w:eastAsia="Arial" w:hAnsi="Arial"/>
          <w:sz w:val="18"/>
          <w:szCs w:val="18"/>
          <w:color w:val="auto"/>
        </w:rPr>
        <w:t>” and collectively the “</w:t>
      </w:r>
      <w:r>
        <w:rPr>
          <w:rFonts w:ascii="Arial" w:cs="Arial" w:eastAsia="Arial" w:hAnsi="Arial"/>
          <w:sz w:val="18"/>
          <w:szCs w:val="18"/>
          <w:b w:val="1"/>
          <w:bCs w:val="1"/>
          <w:color w:val="auto"/>
        </w:rPr>
        <w:t>VIE Agreements</w:t>
      </w:r>
      <w:r>
        <w:rPr>
          <w:rFonts w:ascii="Arial" w:cs="Arial" w:eastAsia="Arial" w:hAnsi="Arial"/>
          <w:sz w:val="18"/>
          <w:szCs w:val="18"/>
          <w:color w:val="auto"/>
        </w:rPr>
        <w:t>”), as set forth in the Time of Sale Prospectus under the captions “Corporate History and Structure” and “Related Party Transactions” and filed as Exhibits 10.7 through 10.13 to the Registration Statement, is true and accurate in all material respects and nothing has been omitted from such description which would make it misleading in any material respect. There is no other material agreement, contract or other document relating to the corporate structure or the operation of the Company together with its Subsidiaries and Affiliated Entities taken as a whole, which has not been previously disclosed or made available to the Underwriters and disclosed in the Registration Statement, the Time of Sale Prospectus and the Prospectus.</w:t>
      </w:r>
    </w:p>
    <w:p>
      <w:pPr>
        <w:spacing w:after="0" w:line="84" w:lineRule="exact"/>
        <w:rPr>
          <w:rFonts w:ascii="Arial" w:cs="Arial" w:eastAsia="Arial" w:hAnsi="Arial"/>
          <w:sz w:val="18"/>
          <w:szCs w:val="18"/>
          <w:color w:val="auto"/>
        </w:rPr>
      </w:pPr>
    </w:p>
    <w:p>
      <w:pPr>
        <w:ind w:left="920" w:right="20" w:firstLine="1"/>
        <w:spacing w:after="0" w:line="288" w:lineRule="auto"/>
        <w:tabs>
          <w:tab w:leader="none" w:pos="120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Each VIE Agreement has been duly authorized, executed and delivered by the parties thereto and constitutes a valid and legally binding obligation of the parties thereto, enforceable in accordance with its terms subject, as to enforceability, to bankruptcy, insolvency, fraudulent transfer, reorganization, moratorium and similar laws of general applicability relating to or affecting creditors’ rights and to general equity principles. No consent, approval, authorization, or order of, or filing or registration with, any person (including any governmental agency or body or any court) is required for the performance of the obligations under any VIE Agreement by the parties thereto, except as already obtained or disclosed in the Registration Statement, the Time of Sale Prospectus and the Prospectus; and no consent, approval, authorization, order, filing or registration that has been obtained is being withdrawn or revoked or is subject to any condition precedent which has not been fulfilled or performed. There is no legal or governmental proceeding, inquiry or investigation pending against the Company, the Subsidiaries and Affiliated Entities or shareholders of the Affiliated Entities in any jurisdiction challenging the validity of any of the VIE Agreements, and to the best knowledge of the Company, no such proceeding, inquiry or investigation is threatened in any jurisdiction.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278" w:name="page279"/>
    <w:bookmarkEnd w:id="278"/>
    <w:p>
      <w:pPr>
        <w:ind w:left="900" w:firstLine="1"/>
        <w:spacing w:after="0" w:line="268" w:lineRule="auto"/>
        <w:tabs>
          <w:tab w:leader="none" w:pos="1185" w:val="left"/>
        </w:tabs>
        <w:numPr>
          <w:ilvl w:val="1"/>
          <w:numId w:val="2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described in the Registration Statement, the Time of Sale Prospectus and the Prospectus, the execution, delivery and performance of each VIE Agreement by the parties thereto do not and will not result in a breach or violation of any of the terms and provisions of, or constitute a default under, or result in the imposition of any lien, encumbrance, equity or claim upon any property or assets of the Company or any of the Subsidiaries and Affiliated Entities pursuant to (i) the constitutive or organizational documents of the Company or any of the Subsidiaries and Affiliated Entities, (ii) any statute, rule, regulation or order of any governmental agency or body or any court, domestic or foreign, having jurisdiction over the Company or any of the Subsidiaries and Affiliated Entities or any of their properties, or any arbitration award, or (iii) any indenture, mortgage, deed of trust, loan agreement or other agreement or instrument to which the Company or any of the Subsidiaries and Affiliated Entities is a party or by which the Company or any of the Subsidiaries and Affiliated Entities is bound or to which any of the properties of the Company or any of the Subsidiaries and Affiliated Entities is subject, except, in the cases of (iii), for such that would not have a Material Adverse Effect. Each VIE Agreement is in full force and effect and none of the parties thereto is in breach or default in the performance of any of the terms or provisions of such VIE Agreement. None of the parties to any of the VIE Agreements has sent or received any communication regarding termination of, or intention not to renew, any of the VIE Agreements, and no such termination or non-renewal has been threatened by any of the parties thereto.</w:t>
      </w:r>
    </w:p>
    <w:p>
      <w:pPr>
        <w:spacing w:after="0" w:line="79" w:lineRule="exact"/>
        <w:rPr>
          <w:rFonts w:ascii="Arial" w:cs="Arial" w:eastAsia="Arial" w:hAnsi="Arial"/>
          <w:sz w:val="17"/>
          <w:szCs w:val="17"/>
          <w:color w:val="auto"/>
        </w:rPr>
      </w:pPr>
    </w:p>
    <w:p>
      <w:pPr>
        <w:ind w:left="900" w:right="320" w:firstLine="1"/>
        <w:spacing w:after="0" w:line="277" w:lineRule="auto"/>
        <w:tabs>
          <w:tab w:leader="none" w:pos="119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Company possesses, directly or indirectly, the power to direct or cause the direction of the management and policies of the Affiliated Entities, through its rights to authorize the shareholders of the Affiliated Entities to exercise their voting rights.</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of this Agreement.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20" w:right="20" w:firstLine="464"/>
        <w:spacing w:after="0" w:line="276" w:lineRule="auto"/>
        <w:tabs>
          <w:tab w:leader="none" w:pos="651" w:val="left"/>
        </w:tabs>
        <w:numPr>
          <w:ilvl w:val="0"/>
          <w:numId w:val="216"/>
        </w:numPr>
        <w:rPr>
          <w:rFonts w:ascii="Arial" w:cs="Arial" w:eastAsia="Arial" w:hAnsi="Arial"/>
          <w:sz w:val="17"/>
          <w:szCs w:val="17"/>
          <w:color w:val="auto"/>
        </w:rPr>
      </w:pPr>
      <w:r>
        <w:rPr>
          <w:rFonts w:ascii="Arial" w:cs="Arial" w:eastAsia="Arial" w:hAnsi="Arial"/>
          <w:sz w:val="17"/>
          <w:szCs w:val="17"/>
          <w:i w:val="1"/>
          <w:iCs w:val="1"/>
          <w:color w:val="auto"/>
        </w:rPr>
        <w:t xml:space="preserve">Authorization of the Deposit Agreement. </w:t>
      </w:r>
      <w:r>
        <w:rPr>
          <w:rFonts w:ascii="Arial" w:cs="Arial" w:eastAsia="Arial" w:hAnsi="Arial"/>
          <w:sz w:val="17"/>
          <w:szCs w:val="17"/>
          <w:color w:val="auto"/>
        </w:rPr>
        <w:t>The Deposit Agreement has been duly authorized, executed and delivered by the Company and assuming</w:t>
      </w:r>
      <w:r>
        <w:rPr>
          <w:rFonts w:ascii="Arial" w:cs="Arial" w:eastAsia="Arial" w:hAnsi="Arial"/>
          <w:sz w:val="17"/>
          <w:szCs w:val="17"/>
          <w:i w:val="1"/>
          <w:iCs w:val="1"/>
          <w:color w:val="auto"/>
        </w:rPr>
        <w:t xml:space="preserve"> </w:t>
      </w:r>
      <w:r>
        <w:rPr>
          <w:rFonts w:ascii="Arial" w:cs="Arial" w:eastAsia="Arial" w:hAnsi="Arial"/>
          <w:sz w:val="17"/>
          <w:szCs w:val="17"/>
          <w:color w:val="auto"/>
        </w:rPr>
        <w:t>due authorization, execution and delivery by the Depositary, constitutes a valid and legally binding obligation of the Company, enforceable in accordance with its terms, subject, as to enforceability, to bankruptcy, insolvency, fraudulent transfer, reorganization, moratorium and similar laws of general applicability relating to or affecting creditors’ rights and to general equity principles. The descriptions of this Agreement and the Deposit Agreement contained in the Registration Statement, Time of Sale Prospectus and the Prospectus is true and accurate in all material respects.</w:t>
      </w:r>
    </w:p>
    <w:p>
      <w:pPr>
        <w:spacing w:after="0" w:line="172" w:lineRule="exact"/>
        <w:rPr>
          <w:rFonts w:ascii="Arial" w:cs="Arial" w:eastAsia="Arial" w:hAnsi="Arial"/>
          <w:sz w:val="17"/>
          <w:szCs w:val="17"/>
          <w:color w:val="auto"/>
        </w:rPr>
      </w:pPr>
    </w:p>
    <w:p>
      <w:pPr>
        <w:ind w:left="-20" w:right="200" w:firstLine="464"/>
        <w:spacing w:after="0" w:line="302" w:lineRule="auto"/>
        <w:tabs>
          <w:tab w:leader="none" w:pos="651"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 xml:space="preserve">Due Authorization of Registration Statements. </w:t>
      </w:r>
      <w:r>
        <w:rPr>
          <w:rFonts w:ascii="Arial" w:cs="Arial" w:eastAsia="Arial" w:hAnsi="Arial"/>
          <w:sz w:val="16"/>
          <w:szCs w:val="16"/>
          <w:color w:val="auto"/>
        </w:rPr>
        <w:t>The Registration Statement, the preliminary prospectus, the Prospectus, any issuer free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the ADS Registration Statement and the filing of the Registration Statement, the Prospectus, any issuer free writing prospectus and the ADS Registration Statement with the Commission have been duly authorized by and on behalf of the Company, and the Registration Statement and the ADS Registration Statement have been duly executed pursuant to such authorization by and on behalf of the Company.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279" w:name="page280"/>
    <w:bookmarkEnd w:id="279"/>
    <w:p>
      <w:pPr>
        <w:ind w:right="40" w:firstLine="464"/>
        <w:spacing w:after="0" w:line="277" w:lineRule="auto"/>
        <w:tabs>
          <w:tab w:leader="none" w:pos="711"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 Capital. </w:t>
      </w:r>
      <w:r>
        <w:rPr>
          <w:rFonts w:ascii="Arial" w:cs="Arial" w:eastAsia="Arial" w:hAnsi="Arial"/>
          <w:sz w:val="18"/>
          <w:szCs w:val="18"/>
          <w:color w:val="auto"/>
        </w:rPr>
        <w:t>The authorized share capital of the Company conforms as to legal matters to the description thereof contained in each of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Sale Prospectus and the Prospectus.</w:t>
      </w:r>
    </w:p>
    <w:p>
      <w:pPr>
        <w:spacing w:after="0" w:line="170" w:lineRule="exact"/>
        <w:rPr>
          <w:rFonts w:ascii="Arial" w:cs="Arial" w:eastAsia="Arial" w:hAnsi="Arial"/>
          <w:sz w:val="18"/>
          <w:szCs w:val="18"/>
          <w:color w:val="auto"/>
        </w:rPr>
      </w:pPr>
    </w:p>
    <w:p>
      <w:pPr>
        <w:ind w:firstLine="464"/>
        <w:spacing w:after="0" w:line="290" w:lineRule="auto"/>
        <w:tabs>
          <w:tab w:leader="none" w:pos="671"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Ordinary Shares. </w:t>
      </w:r>
      <w:r>
        <w:rPr>
          <w:rFonts w:ascii="Arial" w:cs="Arial" w:eastAsia="Arial" w:hAnsi="Arial"/>
          <w:sz w:val="16"/>
          <w:szCs w:val="16"/>
          <w:color w:val="auto"/>
        </w:rPr>
        <w:t>(A) The Ordinary Shares outstanding prior to the issuance of the Shares have been duly authorized and are validly issued, fully</w:t>
      </w:r>
      <w:r>
        <w:rPr>
          <w:rFonts w:ascii="Arial" w:cs="Arial" w:eastAsia="Arial" w:hAnsi="Arial"/>
          <w:sz w:val="16"/>
          <w:szCs w:val="16"/>
          <w:i w:val="1"/>
          <w:iCs w:val="1"/>
          <w:color w:val="auto"/>
        </w:rPr>
        <w:t xml:space="preserve"> </w:t>
      </w:r>
      <w:r>
        <w:rPr>
          <w:rFonts w:ascii="Arial" w:cs="Arial" w:eastAsia="Arial" w:hAnsi="Arial"/>
          <w:sz w:val="16"/>
          <w:szCs w:val="16"/>
          <w:color w:val="auto"/>
        </w:rPr>
        <w:t>paid and non-assessable. As of the date hereof, the Company has authorized and outstanding capitalization as set forth in the sections of the Time of Sale Prospectus and the Prospectus under the headings “Capitalization” and “Description of Share Capital” and, as of the Closing Date, the Company shall have authorized and outstanding capitalization as set forth in the sections of the Time of Sale Prospectus and the Prospectus under the headings “Capitalization” and “Description of Share Capital.” (B) Except as described in the Time of Sale Prospectus, there are (i) no outstanding securities issued by the Company convertible into or exchangeable for, rights, warrants or options to acquire from the Company, or obligations of the Company to issue, Ordinary Shares or any of the share capital of the Company, and (ii) no outstanding rights, warrants or options to acquire, or instruments convertible into or exchangeable for, any share capital of, or any direct interest in, any of the Company’s Subsidiaries and Affiliated Entities.</w:t>
      </w:r>
    </w:p>
    <w:p>
      <w:pPr>
        <w:spacing w:after="0" w:line="166" w:lineRule="exact"/>
        <w:rPr>
          <w:rFonts w:ascii="Arial" w:cs="Arial" w:eastAsia="Arial" w:hAnsi="Arial"/>
          <w:sz w:val="16"/>
          <w:szCs w:val="16"/>
          <w:color w:val="auto"/>
        </w:rPr>
      </w:pPr>
    </w:p>
    <w:p>
      <w:pPr>
        <w:ind w:right="60" w:firstLine="464"/>
        <w:spacing w:after="0" w:line="312" w:lineRule="auto"/>
        <w:tabs>
          <w:tab w:leader="none" w:pos="761"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American Depositary Shares. </w:t>
      </w:r>
      <w:r>
        <w:rPr>
          <w:rFonts w:ascii="Arial" w:cs="Arial" w:eastAsia="Arial" w:hAnsi="Arial"/>
          <w:sz w:val="16"/>
          <w:szCs w:val="16"/>
          <w:color w:val="auto"/>
        </w:rPr>
        <w:t>The American Depositary Shares, when issued by the Depositary against the deposit of Shares in respect thereof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provisions of the Deposit Agreement, will be duly authorized, validly issued and the persons in whose names such American Depositary Shares are registered will be entitled to the rights of registered holders of American Depositary Shares specified therein and in the Deposit Agreement.</w:t>
      </w:r>
    </w:p>
    <w:p>
      <w:pPr>
        <w:spacing w:after="0" w:line="146" w:lineRule="exact"/>
        <w:rPr>
          <w:rFonts w:ascii="Arial" w:cs="Arial" w:eastAsia="Arial" w:hAnsi="Arial"/>
          <w:sz w:val="16"/>
          <w:szCs w:val="16"/>
          <w:color w:val="auto"/>
        </w:rPr>
      </w:pPr>
    </w:p>
    <w:p>
      <w:pPr>
        <w:ind w:firstLine="464"/>
        <w:spacing w:after="0" w:line="272" w:lineRule="auto"/>
        <w:tabs>
          <w:tab w:leader="none" w:pos="711"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 xml:space="preserve">Shares. </w:t>
      </w:r>
      <w:r>
        <w:rPr>
          <w:rFonts w:ascii="Arial" w:cs="Arial" w:eastAsia="Arial" w:hAnsi="Arial"/>
          <w:sz w:val="17"/>
          <w:szCs w:val="17"/>
          <w:color w:val="auto"/>
        </w:rPr>
        <w:t>(A) The Shares to be sold by the Company have been duly authorized and, when issued and delivered in accordance with the terms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will be validly issued, fully paid and non-assessable, and the issuance of such Shares will not be subject to any preemptive rights, resale rights, rights of first refusal or similar rights. The Shares, when issued and delivered against payment therefor in accordance with the terms of this Agreement, will be free of any restriction upon the voting or transfer thereof pursuant to the Company’s constitutive documents or any agreement or other instrument to which the Company is a party. (B) The Shares may be freely issued by the Company to or for the account of the several Underwriters and the initial purchasers thereof, and, except as described in the Time of Sale Prospectus and the Prospectus, there are no restrictions on subsequent transfers of the Shares under the laws of the Cayman Islands, the PRC or the United States.</w:t>
      </w:r>
    </w:p>
    <w:p>
      <w:pPr>
        <w:spacing w:after="0" w:line="177" w:lineRule="exact"/>
        <w:rPr>
          <w:rFonts w:ascii="Arial" w:cs="Arial" w:eastAsia="Arial" w:hAnsi="Arial"/>
          <w:sz w:val="17"/>
          <w:szCs w:val="17"/>
          <w:color w:val="auto"/>
        </w:rPr>
      </w:pPr>
    </w:p>
    <w:p>
      <w:pPr>
        <w:ind w:right="80" w:firstLine="464"/>
        <w:spacing w:after="0" w:line="279" w:lineRule="auto"/>
        <w:tabs>
          <w:tab w:leader="none" w:pos="711"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 xml:space="preserve">Accurate Disclosure. </w:t>
      </w:r>
      <w:r>
        <w:rPr>
          <w:rFonts w:ascii="Arial" w:cs="Arial" w:eastAsia="Arial" w:hAnsi="Arial"/>
          <w:sz w:val="17"/>
          <w:szCs w:val="17"/>
          <w:color w:val="auto"/>
        </w:rPr>
        <w:t>The statements in the Time of Sale Prospectus and the Prospectus under the headings “Risk Factors,” “Corporate History and</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 “Enforceability of Civil Liabilities,” “Corporate History and Structure,” “Regulation,” “Related Party Transactions,” “Description of Share Capital,” “Taxation” and “Underwriting,” insofar as such statements summarize legal matters, agreements, documents or proceedings discussed therein, are accurate, complete and fair summaries of such matters described therein in all material respects.</w:t>
      </w:r>
    </w:p>
    <w:p>
      <w:pPr>
        <w:spacing w:after="0" w:line="171" w:lineRule="exact"/>
        <w:rPr>
          <w:rFonts w:ascii="Arial" w:cs="Arial" w:eastAsia="Arial" w:hAnsi="Arial"/>
          <w:sz w:val="17"/>
          <w:szCs w:val="17"/>
          <w:color w:val="auto"/>
        </w:rPr>
      </w:pPr>
    </w:p>
    <w:p>
      <w:pPr>
        <w:ind w:left="720" w:hanging="256"/>
        <w:spacing w:after="0"/>
        <w:tabs>
          <w:tab w:leader="none" w:pos="720"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 xml:space="preserve">Listing. </w:t>
      </w:r>
      <w:r>
        <w:rPr>
          <w:rFonts w:ascii="Arial" w:cs="Arial" w:eastAsia="Arial" w:hAnsi="Arial"/>
          <w:sz w:val="17"/>
          <w:szCs w:val="17"/>
          <w:color w:val="auto"/>
        </w:rPr>
        <w:t>The American Depositary Shares have been approved for listing on the NASDAQ Global Select Market, subject to official notice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issuance.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80" w:name="page281"/>
    <w:bookmarkEnd w:id="280"/>
    <w:p>
      <w:pPr>
        <w:ind w:right="20" w:firstLine="464"/>
        <w:spacing w:after="0" w:line="271" w:lineRule="auto"/>
        <w:tabs>
          <w:tab w:leader="none" w:pos="711" w:val="left"/>
        </w:tabs>
        <w:numPr>
          <w:ilvl w:val="1"/>
          <w:numId w:val="21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Compliance with Law, Constitutive Documents and Contracts. </w:t>
      </w:r>
      <w:r>
        <w:rPr>
          <w:rFonts w:ascii="Arial" w:cs="Arial" w:eastAsia="Arial" w:hAnsi="Arial"/>
          <w:sz w:val="17"/>
          <w:szCs w:val="17"/>
          <w:color w:val="auto"/>
        </w:rPr>
        <w:t>Except as described in the Time of Sale Prospectus, neither the Company nor any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Subsidiaries and Affiliated Entities is in breach or violation of any provision of applicable law (including, but not limited to, any applicable law concerning information dissemination over the Internet, user privacy protection and online game publication) or is in breach or violation of its respective constitutive documents,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any agreement or other instrument that is (i) binding upon the Company or any of the Subsidiaries and Affiliated Entities and (ii) material to the Company and the Subsidiaries and Affiliated Entities taken as a whole, or any judgment, order or decree of any governmental body, agency or court having jurisdiction over the Company or any of the Subsidiaries and Affiliated Entities.</w:t>
      </w:r>
    </w:p>
    <w:p>
      <w:pPr>
        <w:spacing w:after="0" w:line="178" w:lineRule="exact"/>
        <w:rPr>
          <w:rFonts w:ascii="Arial" w:cs="Arial" w:eastAsia="Arial" w:hAnsi="Arial"/>
          <w:sz w:val="17"/>
          <w:szCs w:val="17"/>
          <w:color w:val="auto"/>
        </w:rPr>
      </w:pPr>
    </w:p>
    <w:p>
      <w:pPr>
        <w:ind w:left="680" w:hanging="216"/>
        <w:spacing w:after="0"/>
        <w:tabs>
          <w:tab w:leader="none" w:pos="680" w:val="left"/>
        </w:tabs>
        <w:numPr>
          <w:ilvl w:val="1"/>
          <w:numId w:val="218"/>
        </w:numPr>
        <w:rPr>
          <w:rFonts w:ascii="Arial" w:cs="Arial" w:eastAsia="Arial" w:hAnsi="Arial"/>
          <w:sz w:val="17"/>
          <w:szCs w:val="17"/>
          <w:color w:val="auto"/>
        </w:rPr>
      </w:pPr>
      <w:r>
        <w:rPr>
          <w:rFonts w:ascii="Arial" w:cs="Arial" w:eastAsia="Arial" w:hAnsi="Arial"/>
          <w:sz w:val="17"/>
          <w:szCs w:val="17"/>
          <w:i w:val="1"/>
          <w:iCs w:val="1"/>
          <w:color w:val="auto"/>
        </w:rPr>
        <w:t xml:space="preserve">Absence of Defaults and Conflicts Resulting from Transaction. </w:t>
      </w:r>
      <w:r>
        <w:rPr>
          <w:rFonts w:ascii="Arial" w:cs="Arial" w:eastAsia="Arial" w:hAnsi="Arial"/>
          <w:sz w:val="17"/>
          <w:szCs w:val="17"/>
          <w:color w:val="auto"/>
        </w:rPr>
        <w:t>The execution and delivery by the Company of, and the performance by the</w:t>
      </w:r>
    </w:p>
    <w:p>
      <w:pPr>
        <w:spacing w:after="0" w:line="34" w:lineRule="exact"/>
        <w:rPr>
          <w:rFonts w:ascii="Arial" w:cs="Arial" w:eastAsia="Arial" w:hAnsi="Arial"/>
          <w:sz w:val="17"/>
          <w:szCs w:val="17"/>
          <w:color w:val="auto"/>
        </w:rPr>
      </w:pPr>
    </w:p>
    <w:p>
      <w:pPr>
        <w:spacing w:after="0" w:line="288" w:lineRule="auto"/>
        <w:rPr>
          <w:rFonts w:ascii="Arial" w:cs="Arial" w:eastAsia="Arial" w:hAnsi="Arial"/>
          <w:sz w:val="17"/>
          <w:szCs w:val="17"/>
          <w:color w:val="auto"/>
        </w:rPr>
      </w:pPr>
      <w:r>
        <w:rPr>
          <w:rFonts w:ascii="Arial" w:cs="Arial" w:eastAsia="Arial" w:hAnsi="Arial"/>
          <w:sz w:val="16"/>
          <w:szCs w:val="16"/>
          <w:color w:val="auto"/>
        </w:rPr>
        <w:t>Company of its obligations under, this Agreement and the Deposit Agreement will not contravene (i) any provision of applicable law or the memorandum and articles of association or other constitutive documents of the Company, (ii) any agreement or other instrument binding upon the Company or any of the Subsidiaries and Affiliated Entities that is material to the Company and the Subsidiaries and Affiliated Entities, taken as a whole, or (iii) any judgment, order or decree of any governmental body, agency or court having jurisdiction over the Company or any of the Subsidiaries and Affiliated Entities; and no consent, approval, authorization or order of, or qualification with, any governmental body or agency is required for the performance by the Company of its obligations under this Agreement or the Deposit Agreement, except such as may be required by the securities or Blue Sky laws of the various states of the United States of America in connection with the offer and sale of the Shares or the American Depositary Shares.</w:t>
      </w:r>
    </w:p>
    <w:p>
      <w:pPr>
        <w:spacing w:after="0" w:line="168" w:lineRule="exact"/>
        <w:rPr>
          <w:rFonts w:ascii="Arial" w:cs="Arial" w:eastAsia="Arial" w:hAnsi="Arial"/>
          <w:sz w:val="17"/>
          <w:szCs w:val="17"/>
          <w:color w:val="auto"/>
        </w:rPr>
      </w:pPr>
    </w:p>
    <w:p>
      <w:pPr>
        <w:ind w:right="80" w:firstLine="464"/>
        <w:spacing w:after="0" w:line="286" w:lineRule="auto"/>
        <w:tabs>
          <w:tab w:leader="none" w:pos="691" w:val="left"/>
        </w:tabs>
        <w:numPr>
          <w:ilvl w:val="1"/>
          <w:numId w:val="218"/>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in Business. </w:t>
      </w:r>
      <w:r>
        <w:rPr>
          <w:rFonts w:ascii="Arial" w:cs="Arial" w:eastAsia="Arial" w:hAnsi="Arial"/>
          <w:sz w:val="16"/>
          <w:szCs w:val="16"/>
          <w:color w:val="auto"/>
        </w:rPr>
        <w:t>Since the end of the period covered by the latest audited financial statements included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Time of Sale Prospectus and the Prospectus, and except as described in the Registration Statement, the Time of Sale Prospectus and the Prospectus, (i) there has been no material adverse change, nor any development or event involving a prospective material adverse change, in the condition (financial or otherwise), results of operations, business, properties or prospects of the Company and its Subsidiaries and Affiliated Entities, taken as a whole,</w:t>
      </w:r>
    </w:p>
    <w:p>
      <w:pPr>
        <w:spacing w:after="0" w:line="1" w:lineRule="exact"/>
        <w:rPr>
          <w:rFonts w:ascii="Arial" w:cs="Arial" w:eastAsia="Arial" w:hAnsi="Arial"/>
          <w:sz w:val="16"/>
          <w:szCs w:val="16"/>
          <w:color w:val="auto"/>
        </w:rPr>
      </w:pPr>
    </w:p>
    <w:p>
      <w:pPr>
        <w:ind w:firstLine="8"/>
        <w:spacing w:after="0" w:line="268" w:lineRule="auto"/>
        <w:tabs>
          <w:tab w:leader="none" w:pos="26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there has been no purchase of its own outstanding share capital by the Company, no dividend or distribution of any kind declared, paid or made by the Company on any class of its share capital, (iii) there has been no material adverse change in the share capital, short-term indebtedness, long-term indebtedness, net current assets or net assets of the Company and its subsidiaries, (iv) neither the Company nor any of its Subsidiaries and Affiliated Entities has (1) entered into or assumed any material transaction or agreement, (2) incurred, assumed or acquired any material liability or obligation, direct or contingent, (3) acquired or disposed of or agreed to acquire or dispose of any business or any other asset, or (4) agreed to take any of the foregoing actions, that would, in the case of any of clauses (i) through (iv) above, would have a Material Adverse Effect; and (v) neither the Company nor any of its Subsidiaries and Affiliated Entities has sustained any material loss or interference with its business from fire, explosion, flood or other calamity, whether or not covered by insurance, or from any labor dispute or court or governmental action, order or decree.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81" w:name="page282"/>
    <w:bookmarkEnd w:id="281"/>
    <w:p>
      <w:pPr>
        <w:ind w:left="-8" w:right="200" w:firstLine="464"/>
        <w:spacing w:after="0" w:line="288" w:lineRule="auto"/>
        <w:tabs>
          <w:tab w:leader="none" w:pos="663" w:val="left"/>
        </w:tabs>
        <w:numPr>
          <w:ilvl w:val="1"/>
          <w:numId w:val="22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pending proceedings. </w:t>
      </w:r>
      <w:r>
        <w:rPr>
          <w:rFonts w:ascii="Arial" w:cs="Arial" w:eastAsia="Arial" w:hAnsi="Arial"/>
          <w:sz w:val="16"/>
          <w:szCs w:val="16"/>
          <w:color w:val="auto"/>
        </w:rPr>
        <w:t>There are no legal or governmental proceedings pending or threatened (including any inquiries or investigations by any</w:t>
      </w:r>
      <w:r>
        <w:rPr>
          <w:rFonts w:ascii="Arial" w:cs="Arial" w:eastAsia="Arial" w:hAnsi="Arial"/>
          <w:sz w:val="16"/>
          <w:szCs w:val="16"/>
          <w:i w:val="1"/>
          <w:iCs w:val="1"/>
          <w:color w:val="auto"/>
        </w:rPr>
        <w:t xml:space="preserve"> </w:t>
      </w:r>
      <w:r>
        <w:rPr>
          <w:rFonts w:ascii="Arial" w:cs="Arial" w:eastAsia="Arial" w:hAnsi="Arial"/>
          <w:sz w:val="16"/>
          <w:szCs w:val="16"/>
          <w:color w:val="auto"/>
        </w:rPr>
        <w:t>court or governmental agency or body, domestic or foreign) to which the Company, any of its Subsidiaries and Affiliated Entities or any of its executive officers, directors and key employees is a party or to which any of the properties of the Company or any of its Subsidiaries and Affiliated Entities is subject</w:t>
      </w:r>
    </w:p>
    <w:p>
      <w:pPr>
        <w:ind w:left="-8" w:firstLine="8"/>
        <w:spacing w:after="0" w:line="253" w:lineRule="auto"/>
        <w:tabs>
          <w:tab w:leader="none" w:pos="20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other than proceedings accurately described in all material respects in the Time of Sale Prospectus and proceedings that would not have a Material Adverse Effect,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191" w:lineRule="exact"/>
        <w:rPr>
          <w:rFonts w:ascii="Arial" w:cs="Arial" w:eastAsia="Arial" w:hAnsi="Arial"/>
          <w:sz w:val="18"/>
          <w:szCs w:val="18"/>
          <w:color w:val="auto"/>
        </w:rPr>
      </w:pPr>
    </w:p>
    <w:p>
      <w:pPr>
        <w:ind w:left="-8" w:right="60" w:firstLine="464"/>
        <w:spacing w:after="0" w:line="264" w:lineRule="auto"/>
        <w:tabs>
          <w:tab w:leader="none" w:pos="703"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Prospectuses. </w:t>
      </w:r>
      <w:r>
        <w:rPr>
          <w:rFonts w:ascii="Arial" w:cs="Arial" w:eastAsia="Arial" w:hAnsi="Arial"/>
          <w:sz w:val="18"/>
          <w:szCs w:val="18"/>
          <w:color w:val="auto"/>
        </w:rPr>
        <w:t>Each preliminary prospectus filed as part of the registration statement as originally filed or as part of any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or filed pursuant to Rule 424 under the Securities Act, complied when so filed in all material respects with the Securities Act and the applicable rules and regulations of the Commission thereunder.</w:t>
      </w:r>
    </w:p>
    <w:p>
      <w:pPr>
        <w:spacing w:after="0" w:line="181" w:lineRule="exact"/>
        <w:rPr>
          <w:rFonts w:ascii="Arial" w:cs="Arial" w:eastAsia="Arial" w:hAnsi="Arial"/>
          <w:sz w:val="18"/>
          <w:szCs w:val="18"/>
          <w:color w:val="auto"/>
        </w:rPr>
      </w:pPr>
    </w:p>
    <w:p>
      <w:pPr>
        <w:ind w:left="-8" w:right="60" w:firstLine="464"/>
        <w:spacing w:after="0" w:line="264" w:lineRule="auto"/>
        <w:tabs>
          <w:tab w:leader="none" w:pos="703"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The Company is not, and after giving effect to the offering and sale of the Shares and the application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described in the Time of Sale Prospectus and the Prospectus will not be, required to register as an “investment company” as such term is defined in the Investment Company Act of 1940, as amended.</w:t>
      </w:r>
    </w:p>
    <w:p>
      <w:pPr>
        <w:spacing w:after="0" w:line="181" w:lineRule="exact"/>
        <w:rPr>
          <w:rFonts w:ascii="Arial" w:cs="Arial" w:eastAsia="Arial" w:hAnsi="Arial"/>
          <w:sz w:val="18"/>
          <w:szCs w:val="18"/>
          <w:color w:val="auto"/>
        </w:rPr>
      </w:pPr>
    </w:p>
    <w:p>
      <w:pPr>
        <w:ind w:left="-8" w:right="20" w:firstLine="464"/>
        <w:spacing w:after="0" w:line="289" w:lineRule="auto"/>
        <w:tabs>
          <w:tab w:leader="none" w:pos="743" w:val="left"/>
        </w:tabs>
        <w:numPr>
          <w:ilvl w:val="1"/>
          <w:numId w:val="221"/>
        </w:numPr>
        <w:rPr>
          <w:rFonts w:ascii="Arial" w:cs="Arial" w:eastAsia="Arial" w:hAnsi="Arial"/>
          <w:sz w:val="16"/>
          <w:szCs w:val="16"/>
          <w:color w:val="auto"/>
        </w:rPr>
      </w:pPr>
      <w:r>
        <w:rPr>
          <w:rFonts w:ascii="Arial" w:cs="Arial" w:eastAsia="Arial" w:hAnsi="Arial"/>
          <w:sz w:val="16"/>
          <w:szCs w:val="16"/>
          <w:i w:val="1"/>
          <w:iCs w:val="1"/>
          <w:color w:val="auto"/>
        </w:rPr>
        <w:t xml:space="preserve">Environmental Laws. </w:t>
      </w:r>
      <w:r>
        <w:rPr>
          <w:rFonts w:ascii="Arial" w:cs="Arial" w:eastAsia="Arial" w:hAnsi="Arial"/>
          <w:sz w:val="16"/>
          <w:szCs w:val="16"/>
          <w:color w:val="auto"/>
        </w:rPr>
        <w:t>(A) The Company and its Subsidiaries and Affiliated Entities (i) are in compliance with any and all applicable national, local</w:t>
      </w:r>
      <w:r>
        <w:rPr>
          <w:rFonts w:ascii="Arial" w:cs="Arial" w:eastAsia="Arial" w:hAnsi="Arial"/>
          <w:sz w:val="16"/>
          <w:szCs w:val="16"/>
          <w:i w:val="1"/>
          <w:iCs w:val="1"/>
          <w:color w:val="auto"/>
        </w:rPr>
        <w:t xml:space="preserve"> </w:t>
      </w:r>
      <w:r>
        <w:rPr>
          <w:rFonts w:ascii="Arial" w:cs="Arial" w:eastAsia="Arial" w:hAnsi="Arial"/>
          <w:sz w:val="16"/>
          <w:szCs w:val="16"/>
          <w:color w:val="auto"/>
        </w:rPr>
        <w:t>and foreign laws and regulations (including, for the avoidance of doubt, all applicable laws and regulations of the PRC)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have a Material Adverse Effect. (B)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except for those that would not have a Material Adverse Effect.</w:t>
      </w:r>
    </w:p>
    <w:p>
      <w:pPr>
        <w:spacing w:after="0" w:line="166" w:lineRule="exact"/>
        <w:rPr>
          <w:rFonts w:ascii="Arial" w:cs="Arial" w:eastAsia="Arial" w:hAnsi="Arial"/>
          <w:sz w:val="16"/>
          <w:szCs w:val="16"/>
          <w:color w:val="auto"/>
        </w:rPr>
      </w:pPr>
    </w:p>
    <w:p>
      <w:pPr>
        <w:ind w:left="-8" w:right="40" w:firstLine="464"/>
        <w:spacing w:after="0" w:line="271" w:lineRule="auto"/>
        <w:tabs>
          <w:tab w:leader="none" w:pos="703" w:val="left"/>
        </w:tabs>
        <w:numPr>
          <w:ilvl w:val="1"/>
          <w:numId w:val="221"/>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Rights; Lock-up Letters. </w:t>
      </w:r>
      <w:r>
        <w:rPr>
          <w:rFonts w:ascii="Arial" w:cs="Arial" w:eastAsia="Arial" w:hAnsi="Arial"/>
          <w:sz w:val="17"/>
          <w:szCs w:val="17"/>
          <w:color w:val="auto"/>
        </w:rPr>
        <w:t>Except as disclosed in the Registration Statement, the Time of Sale Prospectus and the Prospectus,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 (collectively, “</w:t>
      </w:r>
      <w:r>
        <w:rPr>
          <w:rFonts w:ascii="Arial" w:cs="Arial" w:eastAsia="Arial" w:hAnsi="Arial"/>
          <w:sz w:val="17"/>
          <w:szCs w:val="17"/>
          <w:b w:val="1"/>
          <w:bCs w:val="1"/>
          <w:color w:val="auto"/>
        </w:rPr>
        <w:t>registration rights</w:t>
      </w:r>
      <w:r>
        <w:rPr>
          <w:rFonts w:ascii="Arial" w:cs="Arial" w:eastAsia="Arial" w:hAnsi="Arial"/>
          <w:sz w:val="17"/>
          <w:szCs w:val="17"/>
          <w:color w:val="auto"/>
        </w:rPr>
        <w:t>”), and any person to whom the Company has granted registration rights has agreed not to exercise such rights until after the expiration of the Restricted Period referred to in Section 6(w) hereof. Each officer, director and shareholder and certain option holders of the Company has furnished to the Representatives on or prior to the date hereof a letter or letters substantially in the form of Exhibit A hereto (the “</w:t>
      </w:r>
      <w:r>
        <w:rPr>
          <w:rFonts w:ascii="Arial" w:cs="Arial" w:eastAsia="Arial" w:hAnsi="Arial"/>
          <w:sz w:val="17"/>
          <w:szCs w:val="17"/>
          <w:b w:val="1"/>
          <w:bCs w:val="1"/>
          <w:color w:val="auto"/>
        </w:rPr>
        <w:t>Lock-Up Letter</w:t>
      </w:r>
      <w:r>
        <w:rPr>
          <w:rFonts w:ascii="Arial" w:cs="Arial" w:eastAsia="Arial" w:hAnsi="Arial"/>
          <w:sz w:val="17"/>
          <w:szCs w:val="17"/>
          <w:color w:val="auto"/>
        </w:rPr>
        <w: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282" w:name="page283"/>
    <w:bookmarkEnd w:id="282"/>
    <w:p>
      <w:pPr>
        <w:ind w:left="-20" w:firstLine="464"/>
        <w:spacing w:after="0" w:line="287" w:lineRule="auto"/>
        <w:tabs>
          <w:tab w:leader="none" w:pos="691"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with Anti-Corruption Laws. </w:t>
      </w:r>
      <w:r>
        <w:rPr>
          <w:rFonts w:ascii="Arial" w:cs="Arial" w:eastAsia="Arial" w:hAnsi="Arial"/>
          <w:sz w:val="16"/>
          <w:szCs w:val="16"/>
          <w:color w:val="auto"/>
        </w:rPr>
        <w:t>Neither the Company nor any of its Subsidiaries and Affiliated Entities or their respective affiliates, nor</w:t>
      </w:r>
      <w:r>
        <w:rPr>
          <w:rFonts w:ascii="Arial" w:cs="Arial" w:eastAsia="Arial" w:hAnsi="Arial"/>
          <w:sz w:val="16"/>
          <w:szCs w:val="16"/>
          <w:i w:val="1"/>
          <w:iCs w:val="1"/>
          <w:color w:val="auto"/>
        </w:rPr>
        <w:t xml:space="preserve"> </w:t>
      </w:r>
      <w:r>
        <w:rPr>
          <w:rFonts w:ascii="Arial" w:cs="Arial" w:eastAsia="Arial" w:hAnsi="Arial"/>
          <w:sz w:val="16"/>
          <w:szCs w:val="16"/>
          <w:color w:val="auto"/>
        </w:rPr>
        <w:t>any director, officer or employee nor, to the Company’s knowledge, any agent or representative of the Company or of any of its Subsidiaries and Affiliated Entities or their respective affiliates, has (i) used any corporate funds for any unlawful contribution, gift, entertainment or other unlawful expense relating to political activity; (ii)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or (iii) made, offered, agreed, requested or taken an act in furtherance of any unlawful bribe or other unlawful benefit, including, without limitation, any rebate, payoff, influence payment, kickback or other unlawful or improper payment or benefit; and the Company and its Subsidiaries and Affiliated Entities and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72" w:lineRule="exact"/>
        <w:rPr>
          <w:rFonts w:ascii="Arial" w:cs="Arial" w:eastAsia="Arial" w:hAnsi="Arial"/>
          <w:sz w:val="16"/>
          <w:szCs w:val="16"/>
          <w:color w:val="auto"/>
        </w:rPr>
      </w:pPr>
    </w:p>
    <w:p>
      <w:pPr>
        <w:ind w:left="-20" w:right="120" w:firstLine="464"/>
        <w:spacing w:after="0" w:line="271" w:lineRule="auto"/>
        <w:tabs>
          <w:tab w:leader="none" w:pos="681" w:val="left"/>
        </w:tabs>
        <w:numPr>
          <w:ilvl w:val="0"/>
          <w:numId w:val="222"/>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Anti-Money Laundering Laws. </w:t>
      </w:r>
      <w:r>
        <w:rPr>
          <w:rFonts w:ascii="Arial" w:cs="Arial" w:eastAsia="Arial" w:hAnsi="Arial"/>
          <w:sz w:val="17"/>
          <w:szCs w:val="17"/>
          <w:color w:val="auto"/>
        </w:rPr>
        <w:t>The operations of the Company and its Subsidiaries and Affiliated Entities are and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where the Company and its Subsidiaries and Affiliated Entities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w:t>
      </w:r>
      <w:r>
        <w:rPr>
          <w:rFonts w:ascii="Arial" w:cs="Arial" w:eastAsia="Arial" w:hAnsi="Arial"/>
          <w:sz w:val="17"/>
          <w:szCs w:val="17"/>
          <w:color w:val="auto"/>
        </w:rPr>
        <w:t>s”), and no action, suit or proceeding by or before any court or governmental agency, authority or body or any arbitrator involving the Company or any of its Subsidiaries and Affiliated Entities with respect to the Anti-Money Laundering Laws is pending or, to the best knowledge of the Company, threatened.</w:t>
      </w:r>
    </w:p>
    <w:p>
      <w:pPr>
        <w:spacing w:after="0" w:line="179" w:lineRule="exact"/>
        <w:rPr>
          <w:sz w:val="20"/>
          <w:szCs w:val="20"/>
          <w:color w:val="auto"/>
        </w:rPr>
      </w:pPr>
    </w:p>
    <w:p>
      <w:pPr>
        <w:ind w:left="-20" w:right="160" w:firstLine="464"/>
        <w:spacing w:after="0" w:line="286" w:lineRule="auto"/>
        <w:tabs>
          <w:tab w:leader="none" w:pos="761" w:val="left"/>
        </w:tabs>
        <w:numPr>
          <w:ilvl w:val="0"/>
          <w:numId w:val="223"/>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OFAC. </w:t>
      </w:r>
      <w:r>
        <w:rPr>
          <w:rFonts w:ascii="Arial" w:cs="Arial" w:eastAsia="Arial" w:hAnsi="Arial"/>
          <w:sz w:val="17"/>
          <w:szCs w:val="17"/>
          <w:color w:val="auto"/>
        </w:rPr>
        <w:t>(i) Neither the Company nor any of its Subsidiaries and Affiliated Entities, nor any director, officer or employee thereof,</w:t>
      </w:r>
      <w:r>
        <w:rPr>
          <w:rFonts w:ascii="Arial" w:cs="Arial" w:eastAsia="Arial" w:hAnsi="Arial"/>
          <w:sz w:val="17"/>
          <w:szCs w:val="17"/>
          <w:i w:val="1"/>
          <w:iCs w:val="1"/>
          <w:color w:val="auto"/>
        </w:rPr>
        <w:t xml:space="preserve"> </w:t>
      </w:r>
      <w:r>
        <w:rPr>
          <w:rFonts w:ascii="Arial" w:cs="Arial" w:eastAsia="Arial" w:hAnsi="Arial"/>
          <w:sz w:val="17"/>
          <w:szCs w:val="17"/>
          <w:color w:val="auto"/>
        </w:rPr>
        <w:t>nor, to the best knowledge of the Company, any agent, affiliate or representative of the Company or any of its Subsidiaries and Affiliated Entities, is an individual or entity (“</w:t>
      </w:r>
      <w:r>
        <w:rPr>
          <w:rFonts w:ascii="Arial" w:cs="Arial" w:eastAsia="Arial" w:hAnsi="Arial"/>
          <w:sz w:val="17"/>
          <w:szCs w:val="17"/>
          <w:b w:val="1"/>
          <w:bCs w:val="1"/>
          <w:color w:val="auto"/>
        </w:rPr>
        <w:t>Person</w:t>
      </w:r>
      <w:r>
        <w:rPr>
          <w:rFonts w:ascii="Arial" w:cs="Arial" w:eastAsia="Arial" w:hAnsi="Arial"/>
          <w:sz w:val="17"/>
          <w:szCs w:val="17"/>
          <w:color w:val="auto"/>
        </w:rPr>
        <w:t>”) that is, or is owned or controlled by a Person that is:</w:t>
      </w:r>
    </w:p>
    <w:p>
      <w:pPr>
        <w:spacing w:after="0" w:line="161" w:lineRule="exact"/>
        <w:rPr>
          <w:rFonts w:ascii="Arial" w:cs="Arial" w:eastAsia="Arial" w:hAnsi="Arial"/>
          <w:sz w:val="17"/>
          <w:szCs w:val="17"/>
          <w:color w:val="auto"/>
        </w:rPr>
      </w:pPr>
    </w:p>
    <w:p>
      <w:pPr>
        <w:jc w:val="both"/>
        <w:ind w:left="900" w:right="80" w:firstLine="1"/>
        <w:spacing w:after="0" w:line="261" w:lineRule="auto"/>
        <w:tabs>
          <w:tab w:leader="none" w:pos="119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U.S. Department of State and including, without limitation, the designation as a “specially designated national” or “blocked person,”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283" w:name="page284"/>
    <w:bookmarkEnd w:id="283"/>
    <w:p>
      <w:pPr>
        <w:ind w:left="920" w:right="40" w:firstLine="1"/>
        <w:spacing w:after="0" w:line="277" w:lineRule="auto"/>
        <w:tabs>
          <w:tab w:leader="none" w:pos="1205"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located, organized or resident in a country or territory that is, or whose government is, the subject of Sanctions (including, without limitation, Cuba, Iran, North Korea, Sudan and Syria).</w:t>
      </w:r>
    </w:p>
    <w:p>
      <w:pPr>
        <w:spacing w:after="0" w:line="62" w:lineRule="exact"/>
        <w:rPr>
          <w:rFonts w:ascii="Arial" w:cs="Arial" w:eastAsia="Arial" w:hAnsi="Arial"/>
          <w:sz w:val="18"/>
          <w:szCs w:val="18"/>
          <w:color w:val="auto"/>
        </w:rPr>
      </w:pPr>
    </w:p>
    <w:p>
      <w:pPr>
        <w:ind w:left="920" w:right="40" w:firstLine="421"/>
        <w:spacing w:after="0" w:line="264" w:lineRule="auto"/>
        <w:tabs>
          <w:tab w:leader="none" w:pos="1605"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Company represents and covenants that the Company and its Subsidiaries and Affiliated Entities will not, directly or indirectly, use the proceeds of the offering, or lend, contribute or otherwise make available such proceeds to any subsidiary, joint venture partner or other Person:</w:t>
      </w:r>
    </w:p>
    <w:p>
      <w:pPr>
        <w:spacing w:after="0" w:line="73" w:lineRule="exact"/>
        <w:rPr>
          <w:sz w:val="20"/>
          <w:szCs w:val="20"/>
          <w:color w:val="auto"/>
        </w:rPr>
      </w:pPr>
    </w:p>
    <w:p>
      <w:pPr>
        <w:ind w:left="920" w:right="740" w:firstLine="1"/>
        <w:spacing w:after="0" w:line="277" w:lineRule="auto"/>
        <w:tabs>
          <w:tab w:leader="none" w:pos="121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or whose government is, the subject of Sanctions; or</w:t>
      </w:r>
    </w:p>
    <w:p>
      <w:pPr>
        <w:spacing w:after="0" w:line="62" w:lineRule="exact"/>
        <w:rPr>
          <w:rFonts w:ascii="Arial" w:cs="Arial" w:eastAsia="Arial" w:hAnsi="Arial"/>
          <w:sz w:val="18"/>
          <w:szCs w:val="18"/>
          <w:color w:val="auto"/>
        </w:rPr>
      </w:pPr>
    </w:p>
    <w:p>
      <w:pPr>
        <w:ind w:left="920" w:right="160" w:firstLine="1"/>
        <w:spacing w:after="0" w:line="277" w:lineRule="auto"/>
        <w:tabs>
          <w:tab w:leader="none" w:pos="120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920" w:firstLine="421"/>
        <w:spacing w:after="0" w:line="286" w:lineRule="auto"/>
        <w:tabs>
          <w:tab w:leader="none" w:pos="1655" w:val="left"/>
        </w:tabs>
        <w:numPr>
          <w:ilvl w:val="2"/>
          <w:numId w:val="225"/>
        </w:numPr>
        <w:rPr>
          <w:rFonts w:ascii="Arial" w:cs="Arial" w:eastAsia="Arial" w:hAnsi="Arial"/>
          <w:sz w:val="17"/>
          <w:szCs w:val="17"/>
          <w:color w:val="auto"/>
        </w:rPr>
      </w:pPr>
      <w:r>
        <w:rPr>
          <w:rFonts w:ascii="Arial" w:cs="Arial" w:eastAsia="Arial" w:hAnsi="Arial"/>
          <w:sz w:val="17"/>
          <w:szCs w:val="17"/>
          <w:color w:val="auto"/>
        </w:rPr>
        <w:t>The Company represents and covenants that, for the past five years, the Company and its Subsidiaries and Affiliated Entities have not knowingly engaged in, are not now knowingly engaged in, and will not engage in, any dealings or transactions with any Person, or in any country or territory, that at the time of the dealing or transaction is or was, or whose government was, the subject of Sanctions.</w:t>
      </w:r>
    </w:p>
    <w:p>
      <w:pPr>
        <w:spacing w:after="0" w:line="57" w:lineRule="exact"/>
        <w:rPr>
          <w:rFonts w:ascii="Arial" w:cs="Arial" w:eastAsia="Arial" w:hAnsi="Arial"/>
          <w:sz w:val="17"/>
          <w:szCs w:val="17"/>
          <w:color w:val="auto"/>
        </w:rPr>
      </w:pPr>
    </w:p>
    <w:p>
      <w:pPr>
        <w:ind w:right="100" w:firstLine="464"/>
        <w:spacing w:after="0" w:line="271" w:lineRule="auto"/>
        <w:tabs>
          <w:tab w:leader="none" w:pos="801"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 xml:space="preserve">Title to Property. </w:t>
      </w:r>
      <w:r>
        <w:rPr>
          <w:rFonts w:ascii="Arial" w:cs="Arial" w:eastAsia="Arial" w:hAnsi="Arial"/>
          <w:sz w:val="17"/>
          <w:szCs w:val="17"/>
          <w:color w:val="auto"/>
        </w:rPr>
        <w:t>(i) Each of the Company and its Subsidiaries and Affiliated Entities has good and marketable title (valid land use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building ownership certificates in the case of real property located in the PRC) to all real property and good and marketable title to all personal property owned by them which is material to the business of the Company and its Subsidiaries and Affiliated Entities,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its Subsidiaries and Affiliated Entities; and any real property and buildings held under lease by the Company and its Subsidiaries and Affiliated Entities are held by them under valid, subsisting and enforceable leases with such exceptions as are not material and do not interfere with the use made and proposed to be made of such property and buildings by the Company and its Subsidiaries and Affiliated Entities, in each case except as described in the Time of Sale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84" w:name="page285"/>
    <w:bookmarkEnd w:id="284"/>
    <w:p>
      <w:pPr>
        <w:ind w:left="-40" w:firstLine="464"/>
        <w:spacing w:after="0" w:line="285" w:lineRule="auto"/>
        <w:tabs>
          <w:tab w:leader="none" w:pos="741" w:val="left"/>
        </w:tabs>
        <w:numPr>
          <w:ilvl w:val="0"/>
          <w:numId w:val="22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Possession of Intellectual Property. </w:t>
      </w:r>
      <w:r>
        <w:rPr>
          <w:rFonts w:ascii="Arial" w:cs="Arial" w:eastAsia="Arial" w:hAnsi="Arial"/>
          <w:sz w:val="16"/>
          <w:szCs w:val="16"/>
          <w:color w:val="auto"/>
        </w:rPr>
        <w:t>The Company and its Subsidiaries and Affiliated Entities own, possess, or have been authorized to use, or can</w:t>
      </w:r>
      <w:r>
        <w:rPr>
          <w:rFonts w:ascii="Arial" w:cs="Arial" w:eastAsia="Arial" w:hAnsi="Arial"/>
          <w:sz w:val="16"/>
          <w:szCs w:val="16"/>
          <w:i w:val="1"/>
          <w:iCs w:val="1"/>
          <w:color w:val="auto"/>
        </w:rPr>
        <w:t xml:space="preserve"> </w:t>
      </w:r>
      <w:r>
        <w:rPr>
          <w:rFonts w:ascii="Arial" w:cs="Arial" w:eastAsia="Arial" w:hAnsi="Arial"/>
          <w:sz w:val="16"/>
          <w:szCs w:val="16"/>
          <w:color w:val="auto"/>
        </w:rPr>
        <w:t>acquire on reasonable terms sufficient trademarks, trade names, patent rights, copyrights, domain names, licenses, trade secrets, inventions, technology, know-how and other intellectual property and similar rights, including registrations and applications for registration thereof (collectively, “</w:t>
      </w:r>
      <w:r>
        <w:rPr>
          <w:rFonts w:ascii="Arial" w:cs="Arial" w:eastAsia="Arial" w:hAnsi="Arial"/>
          <w:sz w:val="16"/>
          <w:szCs w:val="16"/>
          <w:b w:val="1"/>
          <w:bCs w:val="1"/>
          <w:color w:val="auto"/>
        </w:rPr>
        <w:t>Intellectual</w:t>
      </w:r>
      <w:r>
        <w:rPr>
          <w:rFonts w:ascii="Arial" w:cs="Arial" w:eastAsia="Arial" w:hAnsi="Arial"/>
          <w:sz w:val="16"/>
          <w:szCs w:val="16"/>
          <w:color w:val="auto"/>
        </w:rPr>
        <w:t xml:space="preserve"> </w:t>
      </w:r>
      <w:r>
        <w:rPr>
          <w:rFonts w:ascii="Arial" w:cs="Arial" w:eastAsia="Arial" w:hAnsi="Arial"/>
          <w:sz w:val="16"/>
          <w:szCs w:val="16"/>
          <w:b w:val="1"/>
          <w:bCs w:val="1"/>
          <w:color w:val="auto"/>
        </w:rPr>
        <w:t>Property Rights</w:t>
      </w:r>
      <w:r>
        <w:rPr>
          <w:rFonts w:ascii="Arial" w:cs="Arial" w:eastAsia="Arial" w:hAnsi="Arial"/>
          <w:sz w:val="16"/>
          <w:szCs w:val="16"/>
          <w:color w:val="auto"/>
        </w:rPr>
        <w:t>”) necessary or material to the conduct of the business now conducted, and the expected expiration of any such Intellectual Property Rights</w:t>
      </w:r>
      <w:r>
        <w:rPr>
          <w:rFonts w:ascii="Arial" w:cs="Arial" w:eastAsia="Arial" w:hAnsi="Arial"/>
          <w:sz w:val="16"/>
          <w:szCs w:val="16"/>
          <w:b w:val="1"/>
          <w:bCs w:val="1"/>
          <w:color w:val="auto"/>
        </w:rPr>
        <w:t xml:space="preserve"> </w:t>
      </w:r>
      <w:r>
        <w:rPr>
          <w:rFonts w:ascii="Arial" w:cs="Arial" w:eastAsia="Arial" w:hAnsi="Arial"/>
          <w:sz w:val="16"/>
          <w:szCs w:val="16"/>
          <w:color w:val="auto"/>
        </w:rPr>
        <w:t>would not, individually or in the aggregate, have a Material Adverse Effect. Except as disclosed in the Registration Statement, the Time of Sale Prospectus and the Prospectus, (i) there are no rights of third parties to any of the Intellectual Property Rights owned by the Company or its Subsidiaries and Affiliated Entities; (ii) there is no material infringement, misappropriation breach, default or other violation, or the occurrence of any event that with notice or the passage of time would constitute any of the foregoing, by the Company or its Subsidiaries and Affiliated Entities or third parties of any of the Intellectual Property Rights of the Company or its Subsidiaries and Affiliated Entities; (iii) there is no pending or threatened action, suit, proceeding or claim by others challenging the Company’s or the Subsidiaries’ and Affiliated Entities’ rights in or to, or the violation of any of the terms of, any of their Intellectual Property Rights, and 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(v) there is no pending or threatened action, suit, proceeding or claim by others that the Company or any Subsidiary infringes, misappropriates or otherwise violates or conflicts with any Intellectual Property Rights or other proprietary rights of others and the Company is unaware of any other fact which would form a reasonable basis for any such claim; and (vi) none of the Intellectual Property Rights used by the Company or its Subsidiaries and Affiliated Entities in their businesses has been obtained or is being used by the Company or its Subsidiaries and Affiliated Entities in violation of any contractual obligation binding on the Company or its Subsidiaries and Affiliated Entities in violation of the rights of any persons, except in each case covered by clauses (i) – (vi) such as would not, if determined adversely to the Company or its Subsidiaries and Affiliated Entities, individually or in the aggregate, have a Material Adverse Effect.</w:t>
      </w:r>
    </w:p>
    <w:p>
      <w:pPr>
        <w:spacing w:after="0" w:line="388" w:lineRule="exact"/>
        <w:rPr>
          <w:rFonts w:ascii="Arial" w:cs="Arial" w:eastAsia="Arial" w:hAnsi="Arial"/>
          <w:sz w:val="16"/>
          <w:szCs w:val="16"/>
          <w:color w:val="auto"/>
        </w:rPr>
      </w:pPr>
    </w:p>
    <w:p>
      <w:pPr>
        <w:ind w:left="-40" w:right="300" w:firstLine="464"/>
        <w:spacing w:after="0" w:line="259" w:lineRule="auto"/>
        <w:tabs>
          <w:tab w:leader="none" w:pos="761"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Merger or Consolidation. </w:t>
      </w:r>
      <w:r>
        <w:rPr>
          <w:rFonts w:ascii="Arial" w:cs="Arial" w:eastAsia="Arial" w:hAnsi="Arial"/>
          <w:sz w:val="18"/>
          <w:szCs w:val="18"/>
          <w:color w:val="auto"/>
        </w:rPr>
        <w:t>Neither the Company nor any of its Subsidiaries or Affiliated Entities is a party to any effective memorandum of</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letter of intent, definitive agreement or any similar agreements with respect to a merger or consolidation or an acquisition or disposition of assets, technologies, business units or businesses which is required to be described in the Registration Statement, the Time of Sale Prospectus and the Prospectus and which is not so described.</w:t>
      </w:r>
    </w:p>
    <w:p>
      <w:pPr>
        <w:spacing w:after="0" w:line="186" w:lineRule="exact"/>
        <w:rPr>
          <w:rFonts w:ascii="Arial" w:cs="Arial" w:eastAsia="Arial" w:hAnsi="Arial"/>
          <w:sz w:val="18"/>
          <w:szCs w:val="18"/>
          <w:color w:val="auto"/>
        </w:rPr>
      </w:pPr>
    </w:p>
    <w:p>
      <w:pPr>
        <w:ind w:left="-40" w:firstLine="464"/>
        <w:spacing w:after="0" w:line="302" w:lineRule="auto"/>
        <w:tabs>
          <w:tab w:leader="none" w:pos="741" w:val="left"/>
        </w:tabs>
        <w:numPr>
          <w:ilvl w:val="0"/>
          <w:numId w:val="22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Contracts. </w:t>
      </w:r>
      <w:r>
        <w:rPr>
          <w:rFonts w:ascii="Arial" w:cs="Arial" w:eastAsia="Arial" w:hAnsi="Arial"/>
          <w:sz w:val="16"/>
          <w:szCs w:val="16"/>
          <w:color w:val="auto"/>
        </w:rPr>
        <w:t>Neither the Company nor any of its Subsidiaries or Affiliated Entities has sent or received any communication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or intent not to renew, any of the contracts or agreements referred to or described in the Registration Statement, the Time of Sale Prospectus and the Prospectus or filed as an exhibit to the Registration Statement, and no such termination or non-renewal has been threatened by the Company or any of its Subsidiaries or Affiliated Entities, or to the best knowledge of the Company after due inquiry, by any other party to any such contract or agreement.</w:t>
      </w:r>
    </w:p>
    <w:p>
      <w:pPr>
        <w:spacing w:after="0" w:line="154" w:lineRule="exact"/>
        <w:rPr>
          <w:rFonts w:ascii="Arial" w:cs="Arial" w:eastAsia="Arial" w:hAnsi="Arial"/>
          <w:sz w:val="16"/>
          <w:szCs w:val="16"/>
          <w:color w:val="auto"/>
        </w:rPr>
      </w:pPr>
    </w:p>
    <w:p>
      <w:pPr>
        <w:ind w:left="-40" w:right="40" w:firstLine="464"/>
        <w:spacing w:after="0" w:line="255" w:lineRule="auto"/>
        <w:tabs>
          <w:tab w:leader="none" w:pos="698"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Absence of Labor Dispute; Compliance with Labor Law. </w:t>
      </w:r>
      <w:r>
        <w:rPr>
          <w:rFonts w:ascii="Arial" w:cs="Arial" w:eastAsia="Arial" w:hAnsi="Arial"/>
          <w:sz w:val="18"/>
          <w:szCs w:val="18"/>
          <w:color w:val="auto"/>
        </w:rPr>
        <w:t>No material labor dispute with the employees of the Company or any of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Affiliated Entities exists, or, to the best knowledge of the Company, is imminent; and the Company is not aware of any existing, threatened or imminent labor disturbance by the employees of any of the principal suppliers, manufacturers or contractors of the Company and its Subsidiaries and Affiliated Entities that could have a Material Adverse Effect. The Company and its subsidiaries and Affiliated Entities are and have been in all times in compliance with all applicable labor laws and regulations, and no governmental investigation or proceedings with respect to labor law compliance exists, or, to the best knowledge of the Company, is imminent.</w:t>
      </w:r>
    </w:p>
    <w:p>
      <w:pPr>
        <w:spacing w:after="0" w:line="193" w:lineRule="exact"/>
        <w:rPr>
          <w:rFonts w:ascii="Arial" w:cs="Arial" w:eastAsia="Arial" w:hAnsi="Arial"/>
          <w:sz w:val="18"/>
          <w:szCs w:val="18"/>
          <w:color w:val="auto"/>
        </w:rPr>
      </w:pPr>
    </w:p>
    <w:p>
      <w:pPr>
        <w:ind w:left="-40" w:right="140" w:firstLine="464"/>
        <w:spacing w:after="0" w:line="276" w:lineRule="auto"/>
        <w:tabs>
          <w:tab w:leader="none" w:pos="761" w:val="left"/>
        </w:tabs>
        <w:numPr>
          <w:ilvl w:val="0"/>
          <w:numId w:val="227"/>
        </w:numPr>
        <w:rPr>
          <w:rFonts w:ascii="Arial" w:cs="Arial" w:eastAsia="Arial" w:hAnsi="Arial"/>
          <w:sz w:val="17"/>
          <w:szCs w:val="17"/>
          <w:color w:val="auto"/>
        </w:rPr>
      </w:pPr>
      <w:r>
        <w:rPr>
          <w:rFonts w:ascii="Arial" w:cs="Arial" w:eastAsia="Arial" w:hAnsi="Arial"/>
          <w:sz w:val="17"/>
          <w:szCs w:val="17"/>
          <w:i w:val="1"/>
          <w:iCs w:val="1"/>
          <w:color w:val="auto"/>
        </w:rPr>
        <w:t>Insurance</w:t>
      </w:r>
      <w:r>
        <w:rPr>
          <w:rFonts w:ascii="Arial" w:cs="Arial" w:eastAsia="Arial" w:hAnsi="Arial"/>
          <w:sz w:val="17"/>
          <w:szCs w:val="17"/>
          <w:color w:val="auto"/>
        </w:rPr>
        <w:t>. Each of the Company and its Subsidiaries and Affiliated Entities are insured by insurers of recognized financial responsibility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such losses and risks and in such amounts as are prudent and customary in the businesses in which they are engaged; neither the Company nor any of its subsidiaries has been refused any insurance coverage sought or applied for; and neither the Company nor any of its Subsidiaries and Affiliated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80" w:top="274" w:right="279" w:bottom="1440" w:gutter="0" w:footer="0" w:header="0"/>
        </w:sectPr>
      </w:pPr>
    </w:p>
    <w:bookmarkStart w:id="285" w:name="page286"/>
    <w:bookmarkEnd w:id="285"/>
    <w:p>
      <w:pPr>
        <w:ind w:left="-20" w:right="20" w:firstLine="464"/>
        <w:spacing w:after="0" w:line="288" w:lineRule="auto"/>
        <w:tabs>
          <w:tab w:leader="none" w:pos="781"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Possession of Licenses and Permits. </w:t>
      </w:r>
      <w:r>
        <w:rPr>
          <w:rFonts w:ascii="Arial" w:cs="Arial" w:eastAsia="Arial" w:hAnsi="Arial"/>
          <w:sz w:val="16"/>
          <w:szCs w:val="16"/>
          <w:color w:val="auto"/>
        </w:rPr>
        <w:t>Except as disclosed in the Registration Statement, the Time of Sale Prospectus and the Prospectus,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and Affiliated Entities possesses all licenses, certificates, authorizations, declarations and permits issued by, and has made all reports to and filings with, the appropriate national, local or foreign regulatory authorities having jurisdiction over the Company and each of its Subsidiaries and Affiliated Entities and their respective assets and properties, for the Company and each of its Subsidiaries and Affiliated Entities that are necessary or material to the conduct of their respective businesses; each of the Company and its Subsidiaries and Affiliated Entities is in compliance with the terms and conditions of all such licenses, certificates, authorizations and permits; such licenses, certificates, authorizations and permits are valid and in full force and effect and contain no materially burdensome restrictions or conditions not described in the Time of Sale Prospectus; neither the Company nor any of its Subsidiaries and Affiliated Entities has received any notice of proceedings relating to the revocation or modification of any such license, certificate, authorization or permit; neither the Company nor any of its Subsidiaries has any reason to believe that any such license, certificate, authorization or permit will not be renewed in the ordinary course except for such failure to renew that would not cause a Material Adverse Effect.</w:t>
      </w:r>
    </w:p>
    <w:p>
      <w:pPr>
        <w:spacing w:after="0" w:line="169" w:lineRule="exact"/>
        <w:rPr>
          <w:rFonts w:ascii="Arial" w:cs="Arial" w:eastAsia="Arial" w:hAnsi="Arial"/>
          <w:sz w:val="16"/>
          <w:szCs w:val="16"/>
          <w:color w:val="auto"/>
        </w:rPr>
      </w:pPr>
    </w:p>
    <w:p>
      <w:pPr>
        <w:ind w:left="-20" w:right="160" w:firstLine="464"/>
        <w:spacing w:after="0" w:line="264" w:lineRule="auto"/>
        <w:tabs>
          <w:tab w:leader="none" w:pos="701"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No material relationships or material transactions, direct or indirect, exist between any of the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and Affiliated Entities on the one hand and their respective shareholders, affiliates, officers and directors or any affiliates or family members of such persons on the other hand, except as described in the Time of Sale Prospectus.</w:t>
      </w:r>
    </w:p>
    <w:p>
      <w:pPr>
        <w:spacing w:after="0" w:line="181" w:lineRule="exact"/>
        <w:rPr>
          <w:rFonts w:ascii="Arial" w:cs="Arial" w:eastAsia="Arial" w:hAnsi="Arial"/>
          <w:sz w:val="18"/>
          <w:szCs w:val="18"/>
          <w:color w:val="auto"/>
        </w:rPr>
      </w:pPr>
    </w:p>
    <w:p>
      <w:pPr>
        <w:jc w:val="both"/>
        <w:ind w:left="-20" w:right="180" w:firstLine="464"/>
        <w:spacing w:after="0" w:line="259" w:lineRule="auto"/>
        <w:tabs>
          <w:tab w:leader="none" w:pos="701"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PFIC Status. </w:t>
      </w:r>
      <w:r>
        <w:rPr>
          <w:rFonts w:ascii="Arial" w:cs="Arial" w:eastAsia="Arial" w:hAnsi="Arial"/>
          <w:sz w:val="18"/>
          <w:szCs w:val="18"/>
          <w:color w:val="auto"/>
        </w:rPr>
        <w:t>Based on the Company’s current income and assets and projections as to the value of its assets and the market value of its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Depositary Shares, including the current and anticipated valuation of its assets, the Company does not expect to be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within the meaning of Section 1297 of the United States Internal Revenue Code of 1986, as amended, for its current taxable year or in the foreseeable future.</w:t>
      </w:r>
    </w:p>
    <w:p>
      <w:pPr>
        <w:spacing w:after="0" w:line="186" w:lineRule="exact"/>
        <w:rPr>
          <w:rFonts w:ascii="Arial" w:cs="Arial" w:eastAsia="Arial" w:hAnsi="Arial"/>
          <w:sz w:val="18"/>
          <w:szCs w:val="18"/>
          <w:color w:val="auto"/>
        </w:rPr>
      </w:pPr>
    </w:p>
    <w:p>
      <w:pPr>
        <w:ind w:left="-20" w:firstLine="464"/>
        <w:spacing w:after="0" w:line="290" w:lineRule="auto"/>
        <w:tabs>
          <w:tab w:leader="none" w:pos="781"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No Transaction or Other Taxes</w:t>
      </w:r>
      <w:r>
        <w:rPr>
          <w:rFonts w:ascii="Arial" w:cs="Arial" w:eastAsia="Arial" w:hAnsi="Arial"/>
          <w:sz w:val="16"/>
          <w:szCs w:val="16"/>
          <w:color w:val="auto"/>
        </w:rPr>
        <w:t>. No transaction, stamp, capital or other issuance, registration, transaction, transfer, withholding or other taxes or</w:t>
      </w:r>
      <w:r>
        <w:rPr>
          <w:rFonts w:ascii="Arial" w:cs="Arial" w:eastAsia="Arial" w:hAnsi="Arial"/>
          <w:sz w:val="16"/>
          <w:szCs w:val="16"/>
          <w:i w:val="1"/>
          <w:iCs w:val="1"/>
          <w:color w:val="auto"/>
        </w:rPr>
        <w:t xml:space="preserve"> </w:t>
      </w:r>
      <w:r>
        <w:rPr>
          <w:rFonts w:ascii="Arial" w:cs="Arial" w:eastAsia="Arial" w:hAnsi="Arial"/>
          <w:sz w:val="16"/>
          <w:szCs w:val="16"/>
          <w:color w:val="auto"/>
        </w:rPr>
        <w:t>duties are payable by or on behalf of the Underwriters to the government of the PRC, Hong Kong or Cayman Islands or any political subdivision or taxing authority thereof in connection with (i) the issuance, sale and delivery of the Shares by the Company or the deposit of the Shares with the Depositary and the Custodian, as defined in the Deposit Agreement (the “</w:t>
      </w:r>
      <w:r>
        <w:rPr>
          <w:rFonts w:ascii="Arial" w:cs="Arial" w:eastAsia="Arial" w:hAnsi="Arial"/>
          <w:sz w:val="16"/>
          <w:szCs w:val="16"/>
          <w:b w:val="1"/>
          <w:bCs w:val="1"/>
          <w:color w:val="auto"/>
        </w:rPr>
        <w:t>Custodian</w:t>
      </w:r>
      <w:r>
        <w:rPr>
          <w:rFonts w:ascii="Arial" w:cs="Arial" w:eastAsia="Arial" w:hAnsi="Arial"/>
          <w:sz w:val="16"/>
          <w:szCs w:val="16"/>
          <w:color w:val="auto"/>
        </w:rPr>
        <w:t>”), the issuance of the American Depositary Shares by the Depositary, and the delivery of the American Depositary Shares to or for the account of the Underwriters, (ii) the purchase from the Company of the Shares and the initial sale and delivery of the American Depositary Shares representing the Shares to purchasers thereof by the Underwriters, or (iii) the execution, delivery or performance of this Agreement or the Deposit Agreement; except that Cayman Islands and PRC stamp duty may be payable in the event that this Agreement or the Deposit Agreement is executed in or brought within the jurisdiction of the Cayman Islands or the PRC, as applicable.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286" w:name="page287"/>
    <w:bookmarkEnd w:id="286"/>
    <w:p>
      <w:pPr>
        <w:jc w:val="both"/>
        <w:ind w:left="-8" w:right="100" w:firstLine="464"/>
        <w:spacing w:after="0" w:line="312" w:lineRule="auto"/>
        <w:tabs>
          <w:tab w:leader="none" w:pos="713" w:val="left"/>
        </w:tabs>
        <w:numPr>
          <w:ilvl w:val="1"/>
          <w:numId w:val="2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Independent Accountants. </w:t>
      </w:r>
      <w:r>
        <w:rPr>
          <w:rFonts w:ascii="Arial" w:cs="Arial" w:eastAsia="Arial" w:hAnsi="Arial"/>
          <w:sz w:val="16"/>
          <w:szCs w:val="16"/>
          <w:color w:val="auto"/>
        </w:rPr>
        <w:t>Deloitte Touche Tohmatsu Certified Public Accountants LLP, whose reports on the consolidated financial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are included in the Registration Statement, the Time of Sale Prospectus and the Prospectus, are independent registered public accountants with respect to the Company as required by the Securities Act and by the rules of the Public Company Accounting Oversight Board.</w:t>
      </w:r>
    </w:p>
    <w:p>
      <w:pPr>
        <w:spacing w:after="0" w:line="146" w:lineRule="exact"/>
        <w:rPr>
          <w:rFonts w:ascii="Arial" w:cs="Arial" w:eastAsia="Arial" w:hAnsi="Arial"/>
          <w:sz w:val="16"/>
          <w:szCs w:val="16"/>
          <w:color w:val="auto"/>
        </w:rPr>
      </w:pPr>
    </w:p>
    <w:p>
      <w:pPr>
        <w:ind w:left="-8" w:right="40" w:firstLine="464"/>
        <w:spacing w:after="0" w:line="288" w:lineRule="auto"/>
        <w:tabs>
          <w:tab w:leader="none" w:pos="893" w:val="left"/>
        </w:tabs>
        <w:numPr>
          <w:ilvl w:val="1"/>
          <w:numId w:val="229"/>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included in the Registration Statement, the Time of Sale Prospectus and the Prospectus,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related notes and schedules thereto, present fairly the consolidated financial position of the Company and the Subsidiaries and Affiliated Entities as of the dates indicated and the consolidated results of operations, cash flows and changes in shareholders’ equity of the Company for the periods specified and have been prepared in compliance as to form in all material respects with the applicable accounting requirements of the Securities Act and the related rules and regulations adopted by the Commission and in conformity with United States generally accepted accounting principles applied on a consistent basis during the periods involved; the other financial data contained in the Registration Statement, the Time of Sale Prospectus and the Prospectus are accurately and fairly presented and prepared on a basis consistent with the financial statements and books and records of the Company; there are no financial statements (historical or pro forma) that are required to be included in the Registration Statement, the Time of Sale Prospectus or the Prospectus that are not included as required; and the Company and the Subsidiaries and Affiliated Entities do not have any material liabilities or obligations, direct or contingent (including any off-balance sheet obligations) not described in the Registration Statement, the Time of Sale Prospectus and the Prospectus.</w:t>
      </w:r>
    </w:p>
    <w:p>
      <w:pPr>
        <w:spacing w:after="0" w:line="169" w:lineRule="exact"/>
        <w:rPr>
          <w:rFonts w:ascii="Arial" w:cs="Arial" w:eastAsia="Arial" w:hAnsi="Arial"/>
          <w:sz w:val="16"/>
          <w:szCs w:val="16"/>
          <w:color w:val="auto"/>
        </w:rPr>
      </w:pPr>
    </w:p>
    <w:p>
      <w:pPr>
        <w:ind w:left="-8" w:firstLine="464"/>
        <w:spacing w:after="0" w:line="288" w:lineRule="auto"/>
        <w:tabs>
          <w:tab w:leader="none" w:pos="793" w:val="left"/>
        </w:tabs>
        <w:numPr>
          <w:ilvl w:val="1"/>
          <w:numId w:val="229"/>
        </w:numPr>
        <w:rPr>
          <w:rFonts w:ascii="Arial" w:cs="Arial" w:eastAsia="Arial" w:hAnsi="Arial"/>
          <w:sz w:val="16"/>
          <w:szCs w:val="16"/>
          <w:color w:val="auto"/>
        </w:rPr>
      </w:pPr>
      <w:r>
        <w:rPr>
          <w:rFonts w:ascii="Arial" w:cs="Arial" w:eastAsia="Arial" w:hAnsi="Arial"/>
          <w:sz w:val="16"/>
          <w:szCs w:val="16"/>
          <w:i w:val="1"/>
          <w:iCs w:val="1"/>
          <w:color w:val="auto"/>
        </w:rPr>
        <w:t xml:space="preserve">Critical Accounting Policies. </w:t>
      </w:r>
      <w:r>
        <w:rPr>
          <w:rFonts w:ascii="Arial" w:cs="Arial" w:eastAsia="Arial" w:hAnsi="Arial"/>
          <w:sz w:val="16"/>
          <w:szCs w:val="16"/>
          <w:color w:val="auto"/>
        </w:rPr>
        <w:t>The section entitled “Management’s Discussion and Analysis of Financial Condition and Results of Operations”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Sale Prospectus and the Prospectus accurately and fairly describes (i) the accounting policies that the Company believes are the most important in the portrayal of the Company’s financial condition and results of operations and that require management’s most difficult subjective or complex judgment;</w:t>
      </w:r>
    </w:p>
    <w:p>
      <w:pPr>
        <w:ind w:left="-8" w:right="100" w:firstLine="8"/>
        <w:spacing w:after="0" w:line="290" w:lineRule="auto"/>
        <w:tabs>
          <w:tab w:leader="none" w:pos="25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material judgments and uncertainties affecting the application of critical accounting policies; (iii) the likelihood that materially different amounts would be reported under different conditions or using different assumptions and an explanation thereof; (iv) all material trends, demands, commitments and events known to the Company, and uncertainties, and the potential effects thereof, that the Company believes would materially affect its liquidity and are reasonably likely to occur; and (v) all off-balance sheet commitments and arrangements of the Company and its Subsidiaries and Affiliated Entities, if any. The Company’s directors and management have reviewed and agreed with the selection, application and disclosure of the Company’s critical accounting policies as described in the Time of Sale Prospectus and the Prospectus and have consulted with its independent accountants with regards to such disclosure.</w:t>
      </w:r>
    </w:p>
    <w:p>
      <w:pPr>
        <w:spacing w:after="0" w:line="164" w:lineRule="exact"/>
        <w:rPr>
          <w:rFonts w:ascii="Arial" w:cs="Arial" w:eastAsia="Arial" w:hAnsi="Arial"/>
          <w:sz w:val="16"/>
          <w:szCs w:val="16"/>
          <w:color w:val="auto"/>
        </w:rPr>
      </w:pPr>
    </w:p>
    <w:p>
      <w:pPr>
        <w:ind w:left="-8" w:right="260" w:firstLine="464"/>
        <w:spacing w:after="0" w:line="291" w:lineRule="auto"/>
        <w:tabs>
          <w:tab w:leader="none" w:pos="793" w:val="left"/>
        </w:tabs>
        <w:numPr>
          <w:ilvl w:val="1"/>
          <w:numId w:val="230"/>
        </w:numPr>
        <w:rPr>
          <w:rFonts w:ascii="Arial" w:cs="Arial" w:eastAsia="Arial" w:hAnsi="Arial"/>
          <w:sz w:val="16"/>
          <w:szCs w:val="16"/>
          <w:color w:val="auto"/>
        </w:rPr>
      </w:pPr>
      <w:r>
        <w:rPr>
          <w:rFonts w:ascii="Arial" w:cs="Arial" w:eastAsia="Arial" w:hAnsi="Arial"/>
          <w:sz w:val="16"/>
          <w:szCs w:val="16"/>
          <w:i w:val="1"/>
          <w:iCs w:val="1"/>
          <w:color w:val="auto"/>
        </w:rPr>
        <w:t xml:space="preserve">Internal Controls and Compliance with the Sarbanes-Oxley Act. </w:t>
      </w:r>
      <w:r>
        <w:rPr>
          <w:rFonts w:ascii="Arial" w:cs="Arial" w:eastAsia="Arial" w:hAnsi="Arial"/>
          <w:sz w:val="16"/>
          <w:szCs w:val="16"/>
          <w:color w:val="auto"/>
        </w:rPr>
        <w:t>Except as disclosed in the Registration Statement, the Time of Sale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the Company maintains a system of internal controls over accounting matters sufficient to provide reasonable assurances that</w:t>
      </w:r>
    </w:p>
    <w:p>
      <w:pPr>
        <w:ind w:left="-8" w:right="380" w:firstLine="8"/>
        <w:spacing w:after="0" w:line="281" w:lineRule="auto"/>
        <w:tabs>
          <w:tab w:leader="none" w:pos="20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w:t>
      </w:r>
    </w:p>
    <w:p>
      <w:pPr>
        <w:spacing w:after="0" w:line="1" w:lineRule="exact"/>
        <w:rPr>
          <w:rFonts w:ascii="Arial" w:cs="Arial" w:eastAsia="Arial" w:hAnsi="Arial"/>
          <w:sz w:val="16"/>
          <w:szCs w:val="16"/>
          <w:color w:val="auto"/>
        </w:rPr>
      </w:pPr>
    </w:p>
    <w:p>
      <w:pPr>
        <w:ind w:left="-8" w:right="280" w:firstLine="8"/>
        <w:spacing w:after="0" w:line="252" w:lineRule="auto"/>
        <w:tabs>
          <w:tab w:leader="none" w:pos="30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Registration Statement, the Time of Sale Prospectus and the Prospectus, since the end of the Company’s most recent audited fiscal year, to the Company’s best knowledge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72"/>
          </w:cols>
          <w:pgMar w:left="248" w:top="274" w:right="279" w:bottom="1440" w:gutter="0" w:footer="0" w:header="0"/>
        </w:sectPr>
      </w:pPr>
    </w:p>
    <w:bookmarkStart w:id="287" w:name="page288"/>
    <w:bookmarkEnd w:id="287"/>
    <w:p>
      <w:pPr>
        <w:ind w:left="-8" w:right="160" w:firstLine="464"/>
        <w:spacing w:after="0" w:line="312" w:lineRule="auto"/>
        <w:tabs>
          <w:tab w:leader="none" w:pos="793" w:val="left"/>
        </w:tabs>
        <w:numPr>
          <w:ilvl w:val="1"/>
          <w:numId w:val="23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Third-party Data. </w:t>
      </w:r>
      <w:r>
        <w:rPr>
          <w:rFonts w:ascii="Arial" w:cs="Arial" w:eastAsia="Arial" w:hAnsi="Arial"/>
          <w:sz w:val="16"/>
          <w:szCs w:val="16"/>
          <w:color w:val="auto"/>
        </w:rPr>
        <w:t>Any statistical, industry-related and market-related data included in the Time of Sale Prospectus or Prospectus are based on or</w:t>
      </w:r>
      <w:r>
        <w:rPr>
          <w:rFonts w:ascii="Arial" w:cs="Arial" w:eastAsia="Arial" w:hAnsi="Arial"/>
          <w:sz w:val="16"/>
          <w:szCs w:val="16"/>
          <w:i w:val="1"/>
          <w:iCs w:val="1"/>
          <w:color w:val="auto"/>
        </w:rPr>
        <w:t xml:space="preserve"> </w:t>
      </w:r>
      <w:r>
        <w:rPr>
          <w:rFonts w:ascii="Arial" w:cs="Arial" w:eastAsia="Arial" w:hAnsi="Arial"/>
          <w:sz w:val="16"/>
          <w:szCs w:val="16"/>
          <w:color w:val="auto"/>
        </w:rPr>
        <w:t>derived from sources that the Company reasonably and in good faith believes to be reliable and accurate, and such data agree with the sources from which they are derived, and the Company has obtained the written consent for the use of such data from such sources to the extent required.</w:t>
      </w:r>
    </w:p>
    <w:p>
      <w:pPr>
        <w:spacing w:after="0" w:line="146" w:lineRule="exact"/>
        <w:rPr>
          <w:rFonts w:ascii="Arial" w:cs="Arial" w:eastAsia="Arial" w:hAnsi="Arial"/>
          <w:sz w:val="16"/>
          <w:szCs w:val="16"/>
          <w:color w:val="auto"/>
        </w:rPr>
      </w:pPr>
    </w:p>
    <w:p>
      <w:pPr>
        <w:ind w:left="-8" w:right="60" w:firstLine="464"/>
        <w:spacing w:after="0" w:line="264" w:lineRule="auto"/>
        <w:tabs>
          <w:tab w:leader="none" w:pos="793" w:val="left"/>
        </w:tabs>
        <w:numPr>
          <w:ilvl w:val="1"/>
          <w:numId w:val="233"/>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Exhibits. </w:t>
      </w:r>
      <w:r>
        <w:rPr>
          <w:rFonts w:ascii="Arial" w:cs="Arial" w:eastAsia="Arial" w:hAnsi="Arial"/>
          <w:sz w:val="18"/>
          <w:szCs w:val="18"/>
          <w:color w:val="auto"/>
        </w:rPr>
        <w:t>There are no legal or governmental proceedings or contracts or other documents of a character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Registration Statement, the ADS Registration Statement or the Exchange Act Registration Statement or, in the case of documents, to be filed as exhibits to the Registration Statement, that are not described and filed as required.</w:t>
      </w:r>
    </w:p>
    <w:p>
      <w:pPr>
        <w:spacing w:after="0" w:line="181" w:lineRule="exact"/>
        <w:rPr>
          <w:rFonts w:ascii="Arial" w:cs="Arial" w:eastAsia="Arial" w:hAnsi="Arial"/>
          <w:sz w:val="18"/>
          <w:szCs w:val="18"/>
          <w:color w:val="auto"/>
        </w:rPr>
      </w:pPr>
    </w:p>
    <w:p>
      <w:pPr>
        <w:jc w:val="both"/>
        <w:ind w:left="-8" w:firstLine="464"/>
        <w:spacing w:after="0" w:line="279" w:lineRule="auto"/>
        <w:tabs>
          <w:tab w:leader="none" w:pos="733" w:val="left"/>
        </w:tabs>
        <w:numPr>
          <w:ilvl w:val="1"/>
          <w:numId w:val="233"/>
        </w:numPr>
        <w:rPr>
          <w:rFonts w:ascii="Arial" w:cs="Arial" w:eastAsia="Arial" w:hAnsi="Arial"/>
          <w:sz w:val="17"/>
          <w:szCs w:val="17"/>
          <w:color w:val="auto"/>
        </w:rPr>
      </w:pPr>
      <w:r>
        <w:rPr>
          <w:rFonts w:ascii="Arial" w:cs="Arial" w:eastAsia="Arial" w:hAnsi="Arial"/>
          <w:sz w:val="17"/>
          <w:szCs w:val="17"/>
          <w:i w:val="1"/>
          <w:iCs w:val="1"/>
          <w:color w:val="auto"/>
        </w:rPr>
        <w:t xml:space="preserve">No Unapproved Marketing Documents. </w:t>
      </w:r>
      <w:r>
        <w:rPr>
          <w:rFonts w:ascii="Arial" w:cs="Arial" w:eastAsia="Arial" w:hAnsi="Arial"/>
          <w:sz w:val="17"/>
          <w:szCs w:val="17"/>
          <w:color w:val="auto"/>
        </w:rPr>
        <w:t>The Company has not distributed and, prior to the later to occur of any delivery date and completion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of the Shares, will not distribute any offering material in connection with the offering and sale of the Shares other than the preliminary prospectus filed as part of the Registration Statement as originally confidentially submitted or as part of any amendment thereto, the Prospectus and any issuer free writing prospectus to which the Representatives have consented, as set forth on Schedule II hereto.</w:t>
      </w:r>
    </w:p>
    <w:p>
      <w:pPr>
        <w:spacing w:after="0" w:line="171" w:lineRule="exact"/>
        <w:rPr>
          <w:rFonts w:ascii="Arial" w:cs="Arial" w:eastAsia="Arial" w:hAnsi="Arial"/>
          <w:sz w:val="17"/>
          <w:szCs w:val="17"/>
          <w:color w:val="auto"/>
        </w:rPr>
      </w:pPr>
    </w:p>
    <w:p>
      <w:pPr>
        <w:ind w:left="-8" w:right="20" w:firstLine="464"/>
        <w:spacing w:after="0" w:line="291" w:lineRule="auto"/>
        <w:tabs>
          <w:tab w:leader="none" w:pos="753" w:val="left"/>
        </w:tabs>
        <w:numPr>
          <w:ilvl w:val="1"/>
          <w:numId w:val="233"/>
        </w:numPr>
        <w:rPr>
          <w:rFonts w:ascii="Arial" w:cs="Arial" w:eastAsia="Arial" w:hAnsi="Arial"/>
          <w:sz w:val="16"/>
          <w:szCs w:val="16"/>
          <w:color w:val="auto"/>
        </w:rPr>
      </w:pPr>
      <w:r>
        <w:rPr>
          <w:rFonts w:ascii="Arial" w:cs="Arial" w:eastAsia="Arial" w:hAnsi="Arial"/>
          <w:sz w:val="16"/>
          <w:szCs w:val="16"/>
          <w:i w:val="1"/>
          <w:iCs w:val="1"/>
          <w:color w:val="auto"/>
        </w:rPr>
        <w:t xml:space="preserve">Payments of Dividends; Payments in Foreign Currency. </w:t>
      </w:r>
      <w:r>
        <w:rPr>
          <w:rFonts w:ascii="Arial" w:cs="Arial" w:eastAsia="Arial" w:hAnsi="Arial"/>
          <w:sz w:val="16"/>
          <w:szCs w:val="16"/>
          <w:color w:val="auto"/>
        </w:rPr>
        <w:t>Except as described in the Time of Sale Prospectus, (i) none of the Company nor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and Affiliated Entities is prohibited, directly or indirectly, from (1) paying any dividends or making any other distributions on its share capital,</w:t>
      </w:r>
    </w:p>
    <w:p>
      <w:pPr>
        <w:ind w:left="-8" w:right="20" w:firstLine="8"/>
        <w:spacing w:after="0" w:line="251" w:lineRule="auto"/>
        <w:tabs>
          <w:tab w:leader="none" w:pos="24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making or repaying any loan or advance to the Company or any other Subsidiary or Affiliated Entity or (3) transferring any of its properties or assets to the Company or any other Subsidiary or Affiliated Entity; and (ii) all dividends and other distributions declared and payable upon the share capital of the Company or any of its Subsidiaries and Affiliated Entities (1) may be converted into foreign currency that may be freely transferred out of such Person’s jurisdiction of incorporation, provided however, that (i) such distribution has been duly approved by the shareholder and/or board meeting of the Company or any other Subsidiary or Affiliated Entity pursuant to its constitutional documents; (ii) any enterprise income tax, if applicable to the Company or any other Subsidiary or Affiliated Entity, has been fully paid; (iii) any withholding tax has been duly withheld; (iv) the Company or any other Subsidiary or Affiliated Entity has duly obtained, and maintain effective, its foreign exchange registration; (v) the allocations to statutory reserves by the Company or any other Subsidiary or Affiliated Entity have been duly made; and (vi) the remittance of such dividends outside of the PRC complies with the procedures required under the PRC laws relating to foreign exchange.</w:t>
      </w:r>
    </w:p>
    <w:p>
      <w:pPr>
        <w:spacing w:after="0" w:line="13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72"/>
          </w:cols>
          <w:pgMar w:left="248" w:top="274" w:right="279" w:bottom="1440" w:gutter="0" w:footer="0" w:header="0"/>
        </w:sectPr>
      </w:pPr>
    </w:p>
    <w:bookmarkStart w:id="288" w:name="page289"/>
    <w:bookmarkEnd w:id="288"/>
    <w:p>
      <w:pPr>
        <w:ind w:left="-20" w:firstLine="464"/>
        <w:spacing w:after="0" w:line="271" w:lineRule="auto"/>
        <w:tabs>
          <w:tab w:leader="none" w:pos="701"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Compliance with PRC Overseas Investment and Listing Regulations. </w:t>
      </w:r>
      <w:r>
        <w:rPr>
          <w:rFonts w:ascii="Arial" w:cs="Arial" w:eastAsia="Arial" w:hAnsi="Arial"/>
          <w:sz w:val="17"/>
          <w:szCs w:val="17"/>
          <w:color w:val="auto"/>
        </w:rPr>
        <w:t>Except as described in the Time of Sale Prospectus and the Prospectus,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its Subsidiaries and Affiliated Entities has complied, and has taken all steps to ensure compliance by each of its shareholders, directors and officers that is, or is directly or indirectly owned or controlled by, a PRC resident or citizen with any applicable rules and regulations of the relevant PRC government agencies (including but not limited to the Ministry of Commerce, the National Development and Reform Commission, the China Securities Regulatory Commission (“</w:t>
      </w:r>
      <w:r>
        <w:rPr>
          <w:rFonts w:ascii="Arial" w:cs="Arial" w:eastAsia="Arial" w:hAnsi="Arial"/>
          <w:sz w:val="17"/>
          <w:szCs w:val="17"/>
          <w:b w:val="1"/>
          <w:bCs w:val="1"/>
          <w:color w:val="auto"/>
        </w:rPr>
        <w:t>CSRC</w:t>
      </w:r>
      <w:r>
        <w:rPr>
          <w:rFonts w:ascii="Arial" w:cs="Arial" w:eastAsia="Arial" w:hAnsi="Arial"/>
          <w:sz w:val="17"/>
          <w:szCs w:val="17"/>
          <w:color w:val="auto"/>
        </w:rPr>
        <w:t>”) and the State Administration of Foreign Exchange (the “</w:t>
      </w:r>
      <w:r>
        <w:rPr>
          <w:rFonts w:ascii="Arial" w:cs="Arial" w:eastAsia="Arial" w:hAnsi="Arial"/>
          <w:sz w:val="17"/>
          <w:szCs w:val="17"/>
          <w:b w:val="1"/>
          <w:bCs w:val="1"/>
          <w:color w:val="auto"/>
        </w:rPr>
        <w:t>SAFE</w:t>
      </w:r>
      <w:r>
        <w:rPr>
          <w:rFonts w:ascii="Arial" w:cs="Arial" w:eastAsia="Arial" w:hAnsi="Arial"/>
          <w:sz w:val="17"/>
          <w:szCs w:val="17"/>
          <w:color w:val="auto"/>
        </w:rPr>
        <w:t>”)) relating to overseas investment by PRC residents and citizens (the “</w:t>
      </w:r>
      <w:r>
        <w:rPr>
          <w:rFonts w:ascii="Arial" w:cs="Arial" w:eastAsia="Arial" w:hAnsi="Arial"/>
          <w:sz w:val="17"/>
          <w:szCs w:val="17"/>
          <w:b w:val="1"/>
          <w:bCs w:val="1"/>
          <w:color w:val="auto"/>
        </w:rPr>
        <w:t>PRC Overseas Investment and Listing Regulations</w:t>
      </w:r>
      <w:r>
        <w:rPr>
          <w:rFonts w:ascii="Arial" w:cs="Arial" w:eastAsia="Arial" w:hAnsi="Arial"/>
          <w:sz w:val="17"/>
          <w:szCs w:val="17"/>
          <w:color w:val="auto"/>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w:t>
      </w:r>
    </w:p>
    <w:p>
      <w:pPr>
        <w:spacing w:after="0" w:line="178" w:lineRule="exact"/>
        <w:rPr>
          <w:rFonts w:ascii="Arial" w:cs="Arial" w:eastAsia="Arial" w:hAnsi="Arial"/>
          <w:sz w:val="17"/>
          <w:szCs w:val="17"/>
          <w:color w:val="auto"/>
        </w:rPr>
      </w:pPr>
    </w:p>
    <w:p>
      <w:pPr>
        <w:ind w:left="-20" w:right="140" w:firstLine="464"/>
        <w:spacing w:after="0" w:line="287" w:lineRule="auto"/>
        <w:tabs>
          <w:tab w:leader="none" w:pos="781"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 xml:space="preserve">M&amp;A Rules. </w:t>
      </w:r>
      <w:r>
        <w:rPr>
          <w:rFonts w:ascii="Arial" w:cs="Arial" w:eastAsia="Arial" w:hAnsi="Arial"/>
          <w:sz w:val="16"/>
          <w:szCs w:val="16"/>
          <w:color w:val="auto"/>
        </w:rPr>
        <w:t>The Company is aware of and has been advised as to the content of the Rules on Mergers and Acquisitions of Domestic Enterprises</w:t>
      </w:r>
      <w:r>
        <w:rPr>
          <w:rFonts w:ascii="Arial" w:cs="Arial" w:eastAsia="Arial" w:hAnsi="Arial"/>
          <w:sz w:val="16"/>
          <w:szCs w:val="16"/>
          <w:i w:val="1"/>
          <w:iCs w:val="1"/>
          <w:color w:val="auto"/>
        </w:rPr>
        <w:t xml:space="preserve"> </w:t>
      </w:r>
      <w:r>
        <w:rPr>
          <w:rFonts w:ascii="Arial" w:cs="Arial" w:eastAsia="Arial" w:hAnsi="Arial"/>
          <w:sz w:val="16"/>
          <w:szCs w:val="16"/>
          <w:color w:val="auto"/>
        </w:rPr>
        <w:t>by Foreign Investors and any official clarifications, guidance, interpretations or implementation rules in connection with or related thereto (the “</w:t>
      </w:r>
      <w:r>
        <w:rPr>
          <w:rFonts w:ascii="Arial" w:cs="Arial" w:eastAsia="Arial" w:hAnsi="Arial"/>
          <w:sz w:val="16"/>
          <w:szCs w:val="16"/>
          <w:b w:val="1"/>
          <w:bCs w:val="1"/>
          <w:color w:val="auto"/>
        </w:rPr>
        <w:t>PRC</w:t>
      </w:r>
      <w:r>
        <w:rPr>
          <w:rFonts w:ascii="Arial" w:cs="Arial" w:eastAsia="Arial" w:hAnsi="Arial"/>
          <w:sz w:val="16"/>
          <w:szCs w:val="16"/>
          <w:color w:val="auto"/>
        </w:rPr>
        <w:t xml:space="preserve"> </w:t>
      </w:r>
      <w:r>
        <w:rPr>
          <w:rFonts w:ascii="Arial" w:cs="Arial" w:eastAsia="Arial" w:hAnsi="Arial"/>
          <w:sz w:val="16"/>
          <w:szCs w:val="16"/>
          <w:b w:val="1"/>
          <w:bCs w:val="1"/>
          <w:color w:val="auto"/>
        </w:rPr>
        <w:t>Mergers and Acquisitions Rules</w:t>
      </w:r>
      <w:r>
        <w:rPr>
          <w:rFonts w:ascii="Arial" w:cs="Arial" w:eastAsia="Arial" w:hAnsi="Arial"/>
          <w:sz w:val="16"/>
          <w:szCs w:val="16"/>
          <w:color w:val="auto"/>
        </w:rPr>
        <w:t>”) jointly promulgated by the Ministry of Commerce, the State Assets Supervision and Administration Commission,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Tax Administration, the State Administration of Industry and Commerce, the CSRC and the State Administration of Foreign Exchange on August 8, 2006,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Shares and the American Depositary Shares, the listing and trading of the American Depositary Shares on the New York Stock Exchange and the consummation of the transactions contemplated by this Agreement and the Deposit Agreement (i) are not and will not be, as of the date hereof or at the Closing Date or an Option Closing Date, as the case may be, adversely affected by the PRC Mergers and Acquisitions Rules and (ii) do not require the prior approval of the CSRC.</w:t>
      </w:r>
    </w:p>
    <w:p>
      <w:pPr>
        <w:spacing w:after="0" w:line="168" w:lineRule="exact"/>
        <w:rPr>
          <w:rFonts w:ascii="Arial" w:cs="Arial" w:eastAsia="Arial" w:hAnsi="Arial"/>
          <w:sz w:val="16"/>
          <w:szCs w:val="16"/>
          <w:color w:val="auto"/>
        </w:rPr>
      </w:pPr>
    </w:p>
    <w:p>
      <w:pPr>
        <w:ind w:left="780" w:hanging="336"/>
        <w:spacing w:after="0"/>
        <w:tabs>
          <w:tab w:leader="none" w:pos="780"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 xml:space="preserve">Foreign Private Issuer. </w:t>
      </w:r>
      <w:r>
        <w:rPr>
          <w:rFonts w:ascii="Arial" w:cs="Arial" w:eastAsia="Arial" w:hAnsi="Arial"/>
          <w:sz w:val="18"/>
          <w:szCs w:val="18"/>
          <w:color w:val="auto"/>
        </w:rPr>
        <w:t>The Company is a “foreign private issuer” within the meaning of Rule 405 under the Securities Act.</w:t>
      </w:r>
    </w:p>
    <w:p>
      <w:pPr>
        <w:spacing w:after="0" w:line="225" w:lineRule="exact"/>
        <w:rPr>
          <w:rFonts w:ascii="Arial" w:cs="Arial" w:eastAsia="Arial" w:hAnsi="Arial"/>
          <w:sz w:val="18"/>
          <w:szCs w:val="18"/>
          <w:color w:val="auto"/>
        </w:rPr>
      </w:pPr>
    </w:p>
    <w:p>
      <w:pPr>
        <w:ind w:left="-20" w:right="120" w:firstLine="464"/>
        <w:spacing w:after="0" w:line="259" w:lineRule="auto"/>
        <w:tabs>
          <w:tab w:leader="none" w:pos="861"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 xml:space="preserve">Absence of Manipulation. </w:t>
      </w:r>
      <w:r>
        <w:rPr>
          <w:rFonts w:ascii="Arial" w:cs="Arial" w:eastAsia="Arial" w:hAnsi="Arial"/>
          <w:sz w:val="18"/>
          <w:szCs w:val="18"/>
          <w:color w:val="auto"/>
        </w:rPr>
        <w:t>None of the Company, the Subsidiaries and Affiliated Entities or to the best knowledge of the Company, any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directors, officers, affiliates or controlling persons has taken, directly or indirectly, any action which was designed to cause or result in, or that has constituted or which might reasonably be expected to cause or result in the stabilization or manipulation of the price of any security of the Company to facilitate the sale or resale of the Shares and the American Depositary Shares.</w:t>
      </w:r>
    </w:p>
    <w:p>
      <w:pPr>
        <w:spacing w:after="0" w:line="186" w:lineRule="exact"/>
        <w:rPr>
          <w:rFonts w:ascii="Arial" w:cs="Arial" w:eastAsia="Arial" w:hAnsi="Arial"/>
          <w:sz w:val="18"/>
          <w:szCs w:val="18"/>
          <w:color w:val="auto"/>
        </w:rPr>
      </w:pPr>
    </w:p>
    <w:p>
      <w:pPr>
        <w:ind w:left="-20" w:right="80" w:firstLine="464"/>
        <w:spacing w:after="0" w:line="259" w:lineRule="auto"/>
        <w:tabs>
          <w:tab w:leader="none" w:pos="781"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 xml:space="preserve">No Sale, Issuance and Distribution of Shares. </w:t>
      </w:r>
      <w:r>
        <w:rPr>
          <w:rFonts w:ascii="Arial" w:cs="Arial" w:eastAsia="Arial" w:hAnsi="Arial"/>
          <w:sz w:val="18"/>
          <w:szCs w:val="18"/>
          <w:color w:val="auto"/>
        </w:rPr>
        <w:t>Except as described in the Time of Sale Prospectus, the Company has not sold, issued or distributed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any Ordinary Shares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4" w:right="239" w:bottom="1440" w:gutter="0" w:footer="0" w:header="0"/>
        </w:sectPr>
      </w:pPr>
    </w:p>
    <w:bookmarkStart w:id="289" w:name="page290"/>
    <w:bookmarkEnd w:id="289"/>
    <w:p>
      <w:pPr>
        <w:ind w:left="-20" w:firstLine="464"/>
        <w:spacing w:after="0" w:line="270" w:lineRule="auto"/>
        <w:tabs>
          <w:tab w:leader="none" w:pos="781" w:val="left"/>
        </w:tabs>
        <w:numPr>
          <w:ilvl w:val="0"/>
          <w:numId w:val="23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Immunity. </w:t>
      </w:r>
      <w:r>
        <w:rPr>
          <w:rFonts w:ascii="Arial" w:cs="Arial" w:eastAsia="Arial" w:hAnsi="Arial"/>
          <w:sz w:val="17"/>
          <w:szCs w:val="17"/>
          <w:color w:val="auto"/>
        </w:rPr>
        <w:t>None of the Company, the Subsidiaries and Affiliated Entities or any of their respective properties, assets or revenues has any right</w:t>
      </w:r>
      <w:r>
        <w:rPr>
          <w:rFonts w:ascii="Arial" w:cs="Arial" w:eastAsia="Arial" w:hAnsi="Arial"/>
          <w:sz w:val="17"/>
          <w:szCs w:val="17"/>
          <w:i w:val="1"/>
          <w:iCs w:val="1"/>
          <w:color w:val="auto"/>
        </w:rPr>
        <w:t xml:space="preserve"> </w:t>
      </w:r>
      <w:r>
        <w:rPr>
          <w:rFonts w:ascii="Arial" w:cs="Arial" w:eastAsia="Arial" w:hAnsi="Arial"/>
          <w:sz w:val="17"/>
          <w:szCs w:val="17"/>
          <w:color w:val="auto"/>
        </w:rPr>
        <w:t>of immunity, under the laws of the Cayman Islands, Hong Kong, the PRC or the State of New York, from any legal action, suit or proceeding, the giving of any relief in any such legal action, suit or proceeding, set-off or counterclaim, the jurisdiction of any Cayman Islands, Hong Kong, PRC, New York or United States federal court, service of process, attachment upon or prior to judgment, or attachment in aid of execution of judgment, or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and, to the extent that the Company, any of the Subsidiaries and Affiliated Entities or any of their respective properties, assets or revenues may have or may hereafter become entitled to any such right of immunity in any such court in which proceedings may at any time be commenced, each of the Company and the Subsidiaries and Affiliated Entities waives or will waive such right to the extent permitted by law and has consented to such relief and enforcement as provided in Section 13 of this Agreement and Section 7.6 of the Deposit Agreement.</w:t>
      </w:r>
    </w:p>
    <w:p>
      <w:pPr>
        <w:spacing w:after="0" w:line="177" w:lineRule="exact"/>
        <w:rPr>
          <w:rFonts w:ascii="Arial" w:cs="Arial" w:eastAsia="Arial" w:hAnsi="Arial"/>
          <w:sz w:val="17"/>
          <w:szCs w:val="17"/>
          <w:color w:val="auto"/>
        </w:rPr>
      </w:pPr>
    </w:p>
    <w:p>
      <w:pPr>
        <w:ind w:left="-20" w:right="20" w:firstLine="464"/>
        <w:spacing w:after="0" w:line="269" w:lineRule="auto"/>
        <w:tabs>
          <w:tab w:leader="none" w:pos="761" w:val="left"/>
        </w:tabs>
        <w:numPr>
          <w:ilvl w:val="0"/>
          <w:numId w:val="236"/>
        </w:numPr>
        <w:rPr>
          <w:rFonts w:ascii="Arial" w:cs="Arial" w:eastAsia="Arial" w:hAnsi="Arial"/>
          <w:sz w:val="17"/>
          <w:szCs w:val="17"/>
          <w:color w:val="auto"/>
        </w:rPr>
      </w:pPr>
      <w:r>
        <w:rPr>
          <w:rFonts w:ascii="Arial" w:cs="Arial" w:eastAsia="Arial" w:hAnsi="Arial"/>
          <w:sz w:val="17"/>
          <w:szCs w:val="17"/>
          <w:i w:val="1"/>
          <w:iCs w:val="1"/>
          <w:color w:val="auto"/>
        </w:rPr>
        <w:t xml:space="preserve">Validity of Choice of Law. </w:t>
      </w:r>
      <w:r>
        <w:rPr>
          <w:rFonts w:ascii="Arial" w:cs="Arial" w:eastAsia="Arial" w:hAnsi="Arial"/>
          <w:sz w:val="17"/>
          <w:szCs w:val="17"/>
          <w:color w:val="auto"/>
        </w:rPr>
        <w:t>The choice of the laws of the State of New York as the governing law of this Agreement and the Deposit Agreement is a</w:t>
      </w:r>
      <w:r>
        <w:rPr>
          <w:rFonts w:ascii="Arial" w:cs="Arial" w:eastAsia="Arial" w:hAnsi="Arial"/>
          <w:sz w:val="17"/>
          <w:szCs w:val="17"/>
          <w:i w:val="1"/>
          <w:iCs w:val="1"/>
          <w:color w:val="auto"/>
        </w:rPr>
        <w:t xml:space="preserve"> </w:t>
      </w:r>
      <w:r>
        <w:rPr>
          <w:rFonts w:ascii="Arial" w:cs="Arial" w:eastAsia="Arial" w:hAnsi="Arial"/>
          <w:sz w:val="17"/>
          <w:szCs w:val="17"/>
          <w:color w:val="auto"/>
        </w:rPr>
        <w:t>valid choice of law under the laws of the Cayman Islands, Hong Kong and the PRC and will be honored by courts in the Cayman Islands, Hong Kong and the PRC. The Company has the power to submit, and pursuant to Section 13 of this Agreement and Section 7.6 of the Deposit Agreement, has legally, validly, effectively and irrevocably submitted, to the personal jurisdiction of each New York State and United States Federal court sitting in The City of New York (each, a “</w:t>
      </w:r>
      <w:r>
        <w:rPr>
          <w:rFonts w:ascii="Arial" w:cs="Arial" w:eastAsia="Arial" w:hAnsi="Arial"/>
          <w:sz w:val="17"/>
          <w:szCs w:val="17"/>
          <w:b w:val="1"/>
          <w:bCs w:val="1"/>
          <w:color w:val="auto"/>
        </w:rPr>
        <w:t>New York Court</w:t>
      </w:r>
      <w:r>
        <w:rPr>
          <w:rFonts w:ascii="Arial" w:cs="Arial" w:eastAsia="Arial" w:hAnsi="Arial"/>
          <w:sz w:val="17"/>
          <w:szCs w:val="17"/>
          <w:color w:val="auto"/>
        </w:rPr>
        <w:t>”) and has validly and irrevocably waived any objection to the laying of venue of any suit, action or proceeding brought in any such court; and the Company has the power to designate, appoint and empower, and pursuant to Section 13 of this Agreement and Section 7.6 of the Deposit Agreement, has legally, validly, effectively and irrevocably designated, appointed and empowered, an authorized agent for service of process in any action arising out of or relating to this Agreement, the Deposit Agreement, any preliminary prospectus, the Time of Sale Prospectus, the Prospectus, the Registration Statement, the ADS Registration Statement or the offering of the Shares or the American Depositary Shares in any New York Court, and service of process effected on such authorized agent will be effective to confer valid personal jurisdiction over the Company as provided in Section 13 hereof and Section 7.6 of the Deposit Agreement.</w:t>
      </w:r>
    </w:p>
    <w:p>
      <w:pPr>
        <w:spacing w:after="0" w:line="183" w:lineRule="exact"/>
        <w:rPr>
          <w:sz w:val="20"/>
          <w:szCs w:val="20"/>
          <w:color w:val="auto"/>
        </w:rPr>
      </w:pPr>
    </w:p>
    <w:p>
      <w:pPr>
        <w:ind w:left="-20" w:firstLine="464"/>
        <w:spacing w:after="0" w:line="286" w:lineRule="auto"/>
        <w:tabs>
          <w:tab w:leader="none" w:pos="841"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 xml:space="preserve">Enforceability of Judgment. </w:t>
      </w:r>
      <w:r>
        <w:rPr>
          <w:rFonts w:ascii="Arial" w:cs="Arial" w:eastAsia="Arial" w:hAnsi="Arial"/>
          <w:sz w:val="16"/>
          <w:szCs w:val="16"/>
          <w:color w:val="auto"/>
        </w:rPr>
        <w:t>Any final judgment for a fixed or readily calculable sum of money rendered by a New York Court having jurisdiction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its own domestic laws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the Cayman Islands and PRC,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with respect to courts of the Cayman Islands, such judgment (A) is given by a foreign court of competent jurisdiction, (B) imposes on the judgment debtor a liability to pay a liquidated sum for which the judgment has been given, (C) is not in respect of taxes, a fine or a penalty, and (D) was not obtained in a manner and is not of a kind the enforcement of which is contrary to natural justice or the public policy of the Cayman Islands, and (ii) with respect to courts of the PRC, (A) adequate service of process has been effected and the defendant has had a reasonable opportunity to be heard, (B) such judgments or the enforcement thereof are not contrary to the law, public policy, security or sovereignty of the PRC, (C) such judgments were not obtained by fraudulent means and do not conflict with any other valid judgment in the same matter between the same parties and (D) an action between the same parties in the same matter is not pending in any PRC court at the time the lawsuit is instituted in a foreign court. The Company is not aware of any reason why the enforcement in the Cayman Islands or the PRC of such a New York Court judgment would be, as of the date hereof, contrary to public policy of the Cayman Islands or PRC.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290" w:name="page291"/>
    <w:bookmarkEnd w:id="290"/>
    <w:p>
      <w:pPr>
        <w:ind w:left="-20" w:right="60" w:firstLine="464"/>
        <w:spacing w:after="0" w:line="276" w:lineRule="auto"/>
        <w:tabs>
          <w:tab w:leader="none" w:pos="871" w:val="left"/>
        </w:tabs>
        <w:numPr>
          <w:ilvl w:val="0"/>
          <w:numId w:val="23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Finder’s Fee. </w:t>
      </w:r>
      <w:r>
        <w:rPr>
          <w:rFonts w:ascii="Arial" w:cs="Arial" w:eastAsia="Arial" w:hAnsi="Arial"/>
          <w:sz w:val="17"/>
          <w:szCs w:val="17"/>
          <w:color w:val="auto"/>
        </w:rPr>
        <w:t>There are no contracts, agreements or understandings between the Company or its Subsidiaries and Affiliated Entities and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that would give rise to a valid claim against the Company or its Subsidiaries and Affiliated Entities or any Underwriter for a brokerage commission, finder’s fee or other like payment in connection with this offering, or any other arrangements, agreements, understandings, payments or issuance with respect to the Company and its Subsidiaries and Affiliated Entities or any of their respective officers, directors, shareholders, partners, employees or affiliates that may affect the Underwriters’ compensation as determined by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20" w:firstLine="464"/>
        <w:spacing w:after="0" w:line="279" w:lineRule="auto"/>
        <w:tabs>
          <w:tab w:leader="none" w:pos="841" w:val="left"/>
        </w:tabs>
        <w:numPr>
          <w:ilvl w:val="0"/>
          <w:numId w:val="238"/>
        </w:numPr>
        <w:rPr>
          <w:rFonts w:ascii="Arial" w:cs="Arial" w:eastAsia="Arial" w:hAnsi="Arial"/>
          <w:sz w:val="17"/>
          <w:szCs w:val="17"/>
          <w:color w:val="auto"/>
        </w:rPr>
      </w:pPr>
      <w:r>
        <w:rPr>
          <w:rFonts w:ascii="Arial" w:cs="Arial" w:eastAsia="Arial" w:hAnsi="Arial"/>
          <w:sz w:val="17"/>
          <w:szCs w:val="17"/>
          <w:i w:val="1"/>
          <w:iCs w:val="1"/>
          <w:color w:val="auto"/>
        </w:rPr>
        <w:t xml:space="preserve">No Broker-Dealer Affiliation. </w:t>
      </w:r>
      <w:r>
        <w:rPr>
          <w:rFonts w:ascii="Arial" w:cs="Arial" w:eastAsia="Arial" w:hAnsi="Arial"/>
          <w:sz w:val="17"/>
          <w:szCs w:val="17"/>
          <w:color w:val="auto"/>
        </w:rPr>
        <w:t>There are no affiliations or associations between (i) any member of FINRA and (ii) the Company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and Affiliated Entities or any of their respective officers, directors or, to the best knowledge of the Company, 5% or greater security holders or, to the best knowledge of the Company, any beneficial owner of the Company’s unregistered equity securities that were acquired at any time on or after the 180</w:t>
      </w:r>
      <w:r>
        <w:rPr>
          <w:rFonts w:ascii="Arial" w:cs="Arial" w:eastAsia="Arial" w:hAnsi="Arial"/>
          <w:sz w:val="14"/>
          <w:szCs w:val="14"/>
          <w:color w:val="auto"/>
        </w:rPr>
        <w:t>th</w:t>
      </w:r>
      <w:r>
        <w:rPr>
          <w:rFonts w:ascii="Arial" w:cs="Arial" w:eastAsia="Arial" w:hAnsi="Arial"/>
          <w:sz w:val="17"/>
          <w:szCs w:val="17"/>
          <w:color w:val="auto"/>
        </w:rPr>
        <w:t xml:space="preserve"> day immediately preceding the date that the Registration Statement was initially filed with the Commission.</w:t>
      </w:r>
    </w:p>
    <w:p>
      <w:pPr>
        <w:spacing w:after="0" w:line="171" w:lineRule="exact"/>
        <w:rPr>
          <w:rFonts w:ascii="Arial" w:cs="Arial" w:eastAsia="Arial" w:hAnsi="Arial"/>
          <w:sz w:val="17"/>
          <w:szCs w:val="17"/>
          <w:color w:val="auto"/>
        </w:rPr>
      </w:pPr>
    </w:p>
    <w:p>
      <w:pPr>
        <w:ind w:left="-20" w:firstLine="464"/>
        <w:spacing w:after="0" w:line="255" w:lineRule="auto"/>
        <w:tabs>
          <w:tab w:leader="none" w:pos="871"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Compliance with Foreign Laws</w:t>
      </w:r>
      <w:r>
        <w:rPr>
          <w:rFonts w:ascii="Arial" w:cs="Arial" w:eastAsia="Arial" w:hAnsi="Arial"/>
          <w:sz w:val="18"/>
          <w:szCs w:val="18"/>
          <w:color w:val="auto"/>
        </w:rPr>
        <w:t>. The Registration Statement, the Prospectus, the Time of Sale Prospectus and any preliminary prospectus comply,</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amendments or supplements thereto will materially comply, with any applicable laws or regulations of foreign jurisdictions in which the Prospectus, the Time of Sale Prospectus or any preliminary prospectus, as amended or supplemented, if applicable, are distributed in connection with the Directed Share Program. No consent, approval, authorization or order of, or qualification with, any governmental body or agency, other than those obtained, is required in connection with the offering of the Directed American Depositary Shares in any jurisdiction where the Directed American Depositary Shares are being offered.</w:t>
      </w:r>
    </w:p>
    <w:p>
      <w:pPr>
        <w:spacing w:after="0" w:line="193" w:lineRule="exact"/>
        <w:rPr>
          <w:rFonts w:ascii="Arial" w:cs="Arial" w:eastAsia="Arial" w:hAnsi="Arial"/>
          <w:sz w:val="18"/>
          <w:szCs w:val="18"/>
          <w:color w:val="auto"/>
        </w:rPr>
      </w:pPr>
    </w:p>
    <w:p>
      <w:pPr>
        <w:ind w:left="-20" w:right="40" w:firstLine="464"/>
        <w:spacing w:after="0" w:line="302" w:lineRule="auto"/>
        <w:tabs>
          <w:tab w:leader="none" w:pos="841" w:val="left"/>
        </w:tabs>
        <w:numPr>
          <w:ilvl w:val="0"/>
          <w:numId w:val="238"/>
        </w:numPr>
        <w:rPr>
          <w:rFonts w:ascii="Arial" w:cs="Arial" w:eastAsia="Arial" w:hAnsi="Arial"/>
          <w:sz w:val="16"/>
          <w:szCs w:val="16"/>
          <w:color w:val="auto"/>
        </w:rPr>
      </w:pPr>
      <w:r>
        <w:rPr>
          <w:rFonts w:ascii="Arial" w:cs="Arial" w:eastAsia="Arial" w:hAnsi="Arial"/>
          <w:sz w:val="16"/>
          <w:szCs w:val="16"/>
          <w:i w:val="1"/>
          <w:iCs w:val="1"/>
          <w:color w:val="auto"/>
        </w:rPr>
        <w:t xml:space="preserve">Absence of Unlawful Influence. </w:t>
      </w:r>
      <w:r>
        <w:rPr>
          <w:rFonts w:ascii="Arial" w:cs="Arial" w:eastAsia="Arial" w:hAnsi="Arial"/>
          <w:sz w:val="16"/>
          <w:szCs w:val="16"/>
          <w:color w:val="auto"/>
        </w:rPr>
        <w:t>The Company has not offered, or caused the Designated Underwriter or its affiliates to offer, Directed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154" w:lineRule="exact"/>
        <w:rPr>
          <w:rFonts w:ascii="Arial" w:cs="Arial" w:eastAsia="Arial" w:hAnsi="Arial"/>
          <w:sz w:val="16"/>
          <w:szCs w:val="16"/>
          <w:color w:val="auto"/>
        </w:rPr>
      </w:pPr>
    </w:p>
    <w:p>
      <w:pPr>
        <w:ind w:left="-20" w:right="780" w:firstLine="464"/>
        <w:spacing w:after="0" w:line="264" w:lineRule="auto"/>
        <w:tabs>
          <w:tab w:leader="none" w:pos="775"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of Officers. </w:t>
      </w:r>
      <w:r>
        <w:rPr>
          <w:rFonts w:ascii="Arial" w:cs="Arial" w:eastAsia="Arial" w:hAnsi="Arial"/>
          <w:sz w:val="18"/>
          <w:szCs w:val="18"/>
          <w:color w:val="auto"/>
        </w:rPr>
        <w:t>Any certificate signed by any officer of the Company and delivered to the Representatives or counsel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in connection with the offering shall be deemed a representation and warranty by the Company, as to matters covered thereby, to each Underwriter.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4" w:right="259" w:bottom="1440" w:gutter="0" w:footer="0" w:header="0"/>
        </w:sectPr>
      </w:pPr>
    </w:p>
    <w:bookmarkStart w:id="291" w:name="page292"/>
    <w:bookmarkEnd w:id="291"/>
    <w:p>
      <w:pPr>
        <w:ind w:firstLine="464"/>
        <w:spacing w:after="0" w:line="288" w:lineRule="auto"/>
        <w:tabs>
          <w:tab w:leader="none" w:pos="891"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Tax Filings. </w:t>
      </w:r>
      <w:r>
        <w:rPr>
          <w:rFonts w:ascii="Arial" w:cs="Arial" w:eastAsia="Arial" w:hAnsi="Arial"/>
          <w:sz w:val="16"/>
          <w:szCs w:val="16"/>
          <w:color w:val="auto"/>
        </w:rPr>
        <w:t>(A) The Company and each of its Subsidiaries and the Affiliated Entities have filed all national, local and foreign tax returns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filed through the date of this Agreement or have requested extensions thereof and have paid all taxes required to be paid thereon (except for cases in which the failure to file or pay would not have a Material Adverse Effect, or, except as currently being contested in good faith and for which adequate reserves have been created in the financial statements of the Company), and no tax deficiency has been determined adversely to the Company or any of its Subsidiaries and the Affiliated Entities which has had (nor does the Company nor any of its Subsidiaries and the Affiliated Entities have any notice or knowledge of any tax deficiency which could reasonably be expected to be determined adversely to the Company or its Subsidiaries and the Affiliated Entities and which could reasonably be expected to have) a Material Adverse Effect. (B) All local and national PRC governmental tax holidays, exemptions, waivers, financial subsidies, and other local and national PRC tax relief, concessions and preferential treatment enjoyed by the Company or any of the Subsidiaries and Affiliated Entities as described in the Time of Sale Prospectus and the Prospectus are valid, binding and enforceable and do not violate any laws, regulations, rules, orders, decrees, guidelines, judicial interpretations, notices or other legislation of the PRC.</w:t>
      </w:r>
    </w:p>
    <w:p>
      <w:pPr>
        <w:spacing w:after="0" w:line="273" w:lineRule="exact"/>
        <w:rPr>
          <w:sz w:val="20"/>
          <w:szCs w:val="20"/>
          <w:color w:val="auto"/>
        </w:rPr>
      </w:pPr>
    </w:p>
    <w:p>
      <w:pPr>
        <w:ind w:left="640" w:hanging="176"/>
        <w:spacing w:after="0"/>
        <w:tabs>
          <w:tab w:leader="none" w:pos="640" w:val="left"/>
        </w:tabs>
        <w:numPr>
          <w:ilvl w:val="0"/>
          <w:numId w:val="240"/>
        </w:numPr>
        <w:rPr>
          <w:rFonts w:ascii="Arial" w:cs="Arial" w:eastAsia="Arial" w:hAnsi="Arial"/>
          <w:sz w:val="18"/>
          <w:szCs w:val="18"/>
          <w:color w:val="auto"/>
        </w:rPr>
      </w:pPr>
      <w:r>
        <w:rPr>
          <w:rFonts w:ascii="Arial" w:cs="Arial" w:eastAsia="Arial" w:hAnsi="Arial"/>
          <w:sz w:val="18"/>
          <w:szCs w:val="18"/>
          <w:b w:val="1"/>
          <w:bCs w:val="1"/>
          <w:i w:val="1"/>
          <w:iCs w:val="1"/>
          <w:color w:val="auto"/>
        </w:rPr>
        <w:t>Agreements to Sell and Purchase</w:t>
      </w:r>
      <w:r>
        <w:rPr>
          <w:rFonts w:ascii="Arial" w:cs="Arial" w:eastAsia="Arial" w:hAnsi="Arial"/>
          <w:sz w:val="18"/>
          <w:szCs w:val="18"/>
          <w:b w:val="1"/>
          <w:bCs w:val="1"/>
          <w:color w:val="auto"/>
        </w:rPr>
        <w:t>.</w:t>
      </w:r>
    </w:p>
    <w:p>
      <w:pPr>
        <w:spacing w:after="0" w:line="121"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the number of Firm Shares set</w:t>
      </w:r>
    </w:p>
    <w:p>
      <w:pPr>
        <w:spacing w:after="0"/>
        <w:tabs>
          <w:tab w:leader="none" w:pos="2780" w:val="left"/>
        </w:tabs>
        <w:rPr>
          <w:sz w:val="20"/>
          <w:szCs w:val="20"/>
          <w:color w:val="auto"/>
        </w:rPr>
      </w:pPr>
      <w:r>
        <w:rPr>
          <w:rFonts w:ascii="Arial" w:cs="Arial" w:eastAsia="Arial" w:hAnsi="Arial"/>
          <w:sz w:val="18"/>
          <w:szCs w:val="18"/>
          <w:color w:val="auto"/>
        </w:rPr>
        <w:t>forth in Schedule I hereto at US$</w:t>
      </w:r>
      <w:r>
        <w:rPr>
          <w:sz w:val="20"/>
          <w:szCs w:val="20"/>
          <w:color w:val="auto"/>
        </w:rPr>
        <w:tab/>
      </w:r>
      <w:r>
        <w:rPr>
          <w:rFonts w:ascii="Arial" w:cs="Arial" w:eastAsia="Arial" w:hAnsi="Arial"/>
          <w:sz w:val="16"/>
          <w:szCs w:val="16"/>
          <w:color w:val="auto"/>
        </w:rPr>
        <w:t>per American Depositary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21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hereby agrees to sell to the Underwriters the Additional Shares, and the Underwriters shall have the right to purchase, severally and not jointly, up to 4,800,000 Additional Shares in the form of 2,400,000 American Depositary Shares at the Purchase Price.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69" w:lineRule="exact"/>
        <w:rPr>
          <w:sz w:val="20"/>
          <w:szCs w:val="20"/>
          <w:color w:val="auto"/>
        </w:rPr>
      </w:pPr>
    </w:p>
    <w:p>
      <w:pPr>
        <w:ind w:firstLine="464"/>
        <w:spacing w:after="0" w:line="289" w:lineRule="auto"/>
        <w:tabs>
          <w:tab w:leader="none" w:pos="636" w:val="left"/>
        </w:tabs>
        <w:numPr>
          <w:ilvl w:val="0"/>
          <w:numId w:val="241"/>
        </w:numPr>
        <w:rPr>
          <w:rFonts w:ascii="Arial" w:cs="Arial" w:eastAsia="Arial" w:hAnsi="Arial"/>
          <w:sz w:val="16"/>
          <w:szCs w:val="16"/>
          <w:color w:val="auto"/>
        </w:rPr>
      </w:pPr>
      <w:r>
        <w:rPr>
          <w:rFonts w:ascii="Arial" w:cs="Arial" w:eastAsia="Arial" w:hAnsi="Arial"/>
          <w:sz w:val="16"/>
          <w:szCs w:val="16"/>
          <w:b w:val="1"/>
          <w:bCs w:val="1"/>
          <w:i w:val="1"/>
          <w:iCs w:val="1"/>
          <w:color w:val="auto"/>
        </w:rPr>
        <w:t>Terms of Public Offering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advised by the Representatives that the Underwriters propose to make a public offering of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portions of the Shares in the form of American Depositary Shares as soon after the Registration Statement and this Agreement have become effective as in the judgment of the Representatives is advisable. The Company is further advised by the Representatives that the Shares are to be offered to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public initially at US$</w:t>
      </w:r>
      <w:r>
        <w:rPr>
          <w:rFonts w:ascii="Arial" w:cs="Arial" w:eastAsia="Arial" w:hAnsi="Arial"/>
          <w:sz w:val="16"/>
          <w:szCs w:val="16"/>
          <w:color w:val="auto"/>
        </w:rPr>
        <w:t>per American Depositary Share (the “</w:t>
      </w:r>
      <w:r>
        <w:rPr>
          <w:rFonts w:ascii="Arial" w:cs="Arial" w:eastAsia="Arial" w:hAnsi="Arial"/>
          <w:sz w:val="16"/>
          <w:szCs w:val="16"/>
          <w:b w:val="1"/>
          <w:bCs w:val="1"/>
          <w:color w:val="auto"/>
        </w:rPr>
        <w:t>Public Offering Price</w:t>
      </w:r>
      <w:r>
        <w:rPr>
          <w:rFonts w:ascii="Arial" w:cs="Arial" w:eastAsia="Arial" w:hAnsi="Arial"/>
          <w:sz w:val="16"/>
          <w:szCs w:val="16"/>
          <w:color w:val="auto"/>
        </w:rPr>
        <w:t>”) and to certain dealers selected by the Representatives at a price that</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represents a concession not in excess of US$</w:t>
      </w:r>
      <w:r>
        <w:rPr>
          <w:rFonts w:ascii="Arial" w:cs="Arial" w:eastAsia="Arial" w:hAnsi="Arial"/>
          <w:sz w:val="16"/>
          <w:szCs w:val="16"/>
          <w:color w:val="auto"/>
        </w:rPr>
        <w:t>per American Depositary Share under the Public Offering Price.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92" w:name="page293"/>
    <w:bookmarkEnd w:id="292"/>
    <w:p>
      <w:pPr>
        <w:ind w:left="640" w:hanging="176"/>
        <w:spacing w:after="0"/>
        <w:tabs>
          <w:tab w:leader="none" w:pos="640" w:val="left"/>
        </w:tabs>
        <w:numPr>
          <w:ilvl w:val="0"/>
          <w:numId w:val="24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and Delivery</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Payment for the Firm Shares to be sold by the Company shall be made to the Company in Federal or other funds immediately available in New York</w:t>
      </w:r>
    </w:p>
    <w:p>
      <w:pPr>
        <w:spacing w:after="0" w:line="4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City against delivery of such Firm Shares for the respective accounts of the several Underwriters at 10:00 a.m., New York City time, on , 2014, or at such other time on the same or such other date, not later than , 2014,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90" w:lineRule="exact"/>
        <w:rPr>
          <w:sz w:val="20"/>
          <w:szCs w:val="20"/>
          <w:color w:val="auto"/>
        </w:rPr>
      </w:pPr>
    </w:p>
    <w:p>
      <w:pPr>
        <w:ind w:left="720" w:hanging="256"/>
        <w:spacing w:after="0"/>
        <w:tabs>
          <w:tab w:leader="none" w:pos="72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Payment for any Additional Shares shall be made to the Company in Federal or other funds immediately available in New York City against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delivery of such Additional Shares for the respective accounts of the several Underwriters at 10:00 a.m., New York City time, on the date specified in the</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corresponding notice described in Section 2 or at such other time on the same or on such other date, in any event not later than , 2014 as shall be designated in writing by the Representatives.</w:t>
      </w:r>
    </w:p>
    <w:p>
      <w:pPr>
        <w:spacing w:after="0" w:line="170" w:lineRule="exact"/>
        <w:rPr>
          <w:sz w:val="20"/>
          <w:szCs w:val="20"/>
          <w:color w:val="auto"/>
        </w:rPr>
      </w:pPr>
    </w:p>
    <w:p>
      <w:pPr>
        <w:ind w:right="60" w:firstLine="464"/>
        <w:spacing w:after="0" w:line="284" w:lineRule="auto"/>
        <w:tabs>
          <w:tab w:leader="none" w:pos="70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American Depositary Shares to be delivered to each Underwriter shall be delivered in book entry form, and in such denominations and registered in such names as the Representatives may request in writing not later than one full business day prior to the Closing Date or an Option Closing Date, as the case may be. Such American Depositary Shares shall be delivered by or on behalf of the Company to the Representatives through the facilities of DTC, for the account of such Underwriter, against payment by or on behalf of such Underwriter of the purchase price therefor by wire transfer of Federal or other immediately available funds to the account(s) specified by the Company to the Representatives on the Closing Date or Option Closing Date, as the case may be, or at such other time and date as shall be designated in writing by the Representatives. The Purchase Price payable by the Underwriters shall be reduced by (i) any transfer taxes paid by, or on behalf of, the Underwriters in connection with the transfer of the Shares to the Underwriters duly paid and</w:t>
      </w:r>
    </w:p>
    <w:p>
      <w:pPr>
        <w:spacing w:after="0" w:line="2" w:lineRule="exact"/>
        <w:rPr>
          <w:rFonts w:ascii="Arial" w:cs="Arial" w:eastAsia="Arial" w:hAnsi="Arial"/>
          <w:sz w:val="16"/>
          <w:szCs w:val="16"/>
          <w:color w:val="auto"/>
        </w:rPr>
      </w:pPr>
    </w:p>
    <w:p>
      <w:pPr>
        <w:ind w:right="320" w:firstLine="8"/>
        <w:spacing w:after="0" w:line="261" w:lineRule="auto"/>
        <w:tabs>
          <w:tab w:leader="none" w:pos="26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withholding required by law. The Company will cause the certificates representing the Shares to be made available for inspection at least 24 hours prior to the Closing Date or Option Closing Date, as the case may be.</w:t>
      </w:r>
    </w:p>
    <w:p>
      <w:pPr>
        <w:spacing w:after="0" w:line="180" w:lineRule="exact"/>
        <w:rPr>
          <w:sz w:val="20"/>
          <w:szCs w:val="20"/>
          <w:color w:val="auto"/>
        </w:rPr>
      </w:pPr>
    </w:p>
    <w:p>
      <w:pPr>
        <w:ind w:right="220" w:firstLine="464"/>
        <w:spacing w:after="0" w:line="293" w:lineRule="auto"/>
        <w:tabs>
          <w:tab w:leader="none" w:pos="636" w:val="left"/>
        </w:tabs>
        <w:numPr>
          <w:ilvl w:val="0"/>
          <w:numId w:val="246"/>
        </w:numPr>
        <w:rPr>
          <w:rFonts w:ascii="Arial" w:cs="Arial" w:eastAsia="Arial" w:hAnsi="Arial"/>
          <w:sz w:val="16"/>
          <w:szCs w:val="16"/>
          <w:color w:val="auto"/>
        </w:rPr>
      </w:pPr>
      <w:r>
        <w:rPr>
          <w:rFonts w:ascii="Arial" w:cs="Arial" w:eastAsia="Arial" w:hAnsi="Arial"/>
          <w:sz w:val="16"/>
          <w:szCs w:val="16"/>
          <w:b w:val="1"/>
          <w:bCs w:val="1"/>
          <w:i w:val="1"/>
          <w:iCs w:val="1"/>
          <w:color w:val="auto"/>
        </w:rPr>
        <w:t>Conditions to the Underwriters’ Obligations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of the Company to sell the Shares to the Underwriters and the several obligations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Underwriters to purchase and pay for the Shares on the Closing Date and each Option Closing Date are subject to the condition that the Registration</w:t>
      </w:r>
    </w:p>
    <w:p>
      <w:pPr>
        <w:spacing w:after="0" w:line="1"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Statement shall have become effective not later than</w:t>
      </w:r>
      <w:r>
        <w:rPr>
          <w:sz w:val="20"/>
          <w:szCs w:val="20"/>
          <w:color w:val="auto"/>
        </w:rPr>
        <w:tab/>
      </w:r>
      <w:r>
        <w:rPr>
          <w:rFonts w:ascii="Arial" w:cs="Arial" w:eastAsia="Arial" w:hAnsi="Arial"/>
          <w:sz w:val="16"/>
          <w:szCs w:val="16"/>
          <w:color w:val="auto"/>
        </w:rPr>
        <w:t>, 2014 (New York City time) on the date hereof.</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225" w:lineRule="exact"/>
        <w:rPr>
          <w:sz w:val="20"/>
          <w:szCs w:val="20"/>
          <w:color w:val="auto"/>
        </w:rPr>
      </w:pPr>
    </w:p>
    <w:p>
      <w:pPr>
        <w:ind w:firstLine="464"/>
        <w:spacing w:after="0" w:line="276" w:lineRule="auto"/>
        <w:tabs>
          <w:tab w:leader="none" w:pos="701" w:val="left"/>
        </w:tabs>
        <w:numPr>
          <w:ilvl w:val="0"/>
          <w:numId w:val="247"/>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 or Option Closing Date, as the case may be, there shall not have occurred any change, or any development involving a prospective change, in the condition, financial or otherwise, or in the earnings, business or operations of the Company and its Subsidiaries and Affiliated Entities, taken as a whole, from that set forth in the Time of Sale Prospectus as of the date of this Agreement that, in the judgment of the Representatives, is material and adverse and that makes it, in the judgment of the Representatives, impracticable to market the Shares on the terms and in the manner contemplated in the Time of Sale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93" w:name="page294"/>
    <w:bookmarkEnd w:id="293"/>
    <w:p>
      <w:pPr>
        <w:ind w:firstLine="464"/>
        <w:spacing w:after="0" w:line="255" w:lineRule="auto"/>
        <w:tabs>
          <w:tab w:leader="none" w:pos="711"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Underwriters shall have received on the Closing Date or Option Closing Date, as the case may be, (i) a certificate, dated such date, signed by an executive officer of the Company, to the effect that the representations and warranties of the Company contained in this Agreement are true and correct as of the Closing Date or Option Closing Date, as the case may be, and that the Company has complied with all of the agreements and satisfied all of the conditions on its part to be performed or satisfied hereunder on or before such date (and the officer signing and delivering such certificate may rely upon the best of his or her knowledge as to proceedings threatened) and (ii) a certificate, dated such date, signed by an executive officer of the Company, with respect to such matters as the Representatives may reasonably require.</w:t>
      </w:r>
    </w:p>
    <w:p>
      <w:pPr>
        <w:spacing w:after="0" w:line="193" w:lineRule="exact"/>
        <w:rPr>
          <w:rFonts w:ascii="Arial" w:cs="Arial" w:eastAsia="Arial" w:hAnsi="Arial"/>
          <w:sz w:val="18"/>
          <w:szCs w:val="18"/>
          <w:color w:val="auto"/>
        </w:rPr>
      </w:pPr>
    </w:p>
    <w:p>
      <w:pPr>
        <w:ind w:right="180" w:firstLine="464"/>
        <w:spacing w:after="0" w:line="264" w:lineRule="auto"/>
        <w:tabs>
          <w:tab w:leader="none" w:pos="70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Option Closing Date, as the case may be, a certificate, dated such date and signed by the chief financial officer of the Company with respect to certain operating data and financial figures contained in the Registration Statement, the Time of Sale Prospectus and the Prospectus, in form and substance satisfactory to the Underwriters.</w:t>
      </w:r>
    </w:p>
    <w:p>
      <w:pPr>
        <w:spacing w:after="0" w:line="181"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an Option Closing Date, as the case may be, an opinion and negative assurance letter of Skadden, Arps, Slate, Meagher &amp; Flom LLP, U.S. counsel for the Company, dated the Closing Date or Option Closing Date, as the case may be, in form and substance reasonably satisfactory to the Underwriters.</w:t>
      </w:r>
    </w:p>
    <w:p>
      <w:pPr>
        <w:spacing w:after="0" w:line="181" w:lineRule="exact"/>
        <w:rPr>
          <w:rFonts w:ascii="Arial" w:cs="Arial" w:eastAsia="Arial" w:hAnsi="Arial"/>
          <w:sz w:val="18"/>
          <w:szCs w:val="18"/>
          <w:color w:val="auto"/>
        </w:rPr>
      </w:pPr>
    </w:p>
    <w:p>
      <w:pPr>
        <w:ind w:firstLine="464"/>
        <w:spacing w:after="0" w:line="264" w:lineRule="auto"/>
        <w:tabs>
          <w:tab w:leader="none" w:pos="70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an Option Closing Date, as the case may be, an opinion of Maples and Calder, Cayman Islands counsel for the Company, dated the Closing Date or Option Closing Date, as the case may be, in form and substance reasonably satisfactory to the Underwriters.</w:t>
      </w:r>
    </w:p>
    <w:p>
      <w:pPr>
        <w:spacing w:after="0" w:line="181" w:lineRule="exact"/>
        <w:rPr>
          <w:rFonts w:ascii="Arial" w:cs="Arial" w:eastAsia="Arial" w:hAnsi="Arial"/>
          <w:sz w:val="18"/>
          <w:szCs w:val="18"/>
          <w:color w:val="auto"/>
        </w:rPr>
      </w:pPr>
    </w:p>
    <w:p>
      <w:pPr>
        <w:ind w:right="120" w:firstLine="464"/>
        <w:spacing w:after="0" w:line="264" w:lineRule="auto"/>
        <w:tabs>
          <w:tab w:leader="none" w:pos="68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shall have received on the Closing Date or an Option Closing Date, as the case may be, an opinion of Han Kun Law Offices, PRC counsel for the Company, dated the Closing Date or Option Closing Date, as the case may be, a copy of which shall have been provided to the Underwriters, in form and substance reasonably satisfactory to the Underwriters.</w:t>
      </w:r>
    </w:p>
    <w:p>
      <w:pPr>
        <w:spacing w:after="0" w:line="181" w:lineRule="exact"/>
        <w:rPr>
          <w:rFonts w:ascii="Arial" w:cs="Arial" w:eastAsia="Arial" w:hAnsi="Arial"/>
          <w:sz w:val="18"/>
          <w:szCs w:val="18"/>
          <w:color w:val="auto"/>
        </w:rPr>
      </w:pPr>
    </w:p>
    <w:p>
      <w:pPr>
        <w:jc w:val="both"/>
        <w:ind w:right="440" w:firstLine="464"/>
        <w:spacing w:after="0" w:line="264" w:lineRule="auto"/>
        <w:tabs>
          <w:tab w:leader="none" w:pos="71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an Option Closing Date, as the case may be, an opinion of Skadden, Arps, Slate, Meagher &amp; Flom LLP, Hong Kong counsel for the Company, dated the Closing Date or Option Closing Date, as the case may be, in form and substance reasonably satisfactory to the Underwriters.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At the request of the Company, the opinions of counsel for the Company described above (except for the opinion of the PRC counsel for the Company) shall be addressed to the Underwriters and shall so state therein.</w:t>
      </w:r>
    </w:p>
    <w:p>
      <w:pPr>
        <w:spacing w:after="0" w:line="170" w:lineRule="exact"/>
        <w:rPr>
          <w:sz w:val="20"/>
          <w:szCs w:val="20"/>
          <w:color w:val="auto"/>
        </w:rPr>
      </w:pPr>
    </w:p>
    <w:p>
      <w:pPr>
        <w:ind w:right="40" w:firstLine="464"/>
        <w:spacing w:after="0" w:line="264" w:lineRule="auto"/>
        <w:tabs>
          <w:tab w:leader="none" w:pos="7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an Option Closing Date, as the case may be, an opinion and negative assurance letter of Kirkland &amp; Ellis, U.S. counsel for the Underwriters, dated the Closing Date or Option Closing Date, as the case may be, in form and substance satisfactory to the Underwriters.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94" w:name="page295"/>
    <w:bookmarkEnd w:id="294"/>
    <w:p>
      <w:pPr>
        <w:ind w:right="220" w:firstLine="464"/>
        <w:spacing w:after="0" w:line="264" w:lineRule="auto"/>
        <w:tabs>
          <w:tab w:leader="none" w:pos="671"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Underwriters shall have received on the Closing Date or an Option Closing Date, as the case may be, an opinion of King &amp; Wood Mallesons, PRC counsel for the Underwriters, dated the Closing Date or an Option Closing Date, as the case may be, in form and substance satisfactory to the Underwriters.</w:t>
      </w:r>
    </w:p>
    <w:p>
      <w:pPr>
        <w:spacing w:after="0" w:line="181" w:lineRule="exact"/>
        <w:rPr>
          <w:rFonts w:ascii="Arial" w:cs="Arial" w:eastAsia="Arial" w:hAnsi="Arial"/>
          <w:sz w:val="18"/>
          <w:szCs w:val="18"/>
          <w:color w:val="auto"/>
        </w:rPr>
      </w:pPr>
    </w:p>
    <w:p>
      <w:pPr>
        <w:ind w:right="60" w:firstLine="464"/>
        <w:spacing w:after="0" w:line="342" w:lineRule="auto"/>
        <w:tabs>
          <w:tab w:leader="none" w:pos="671"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or an Option Closing Date, as the case may be, an opinion of White &amp; Case LLP, counsel for the Depositary, dated the Closing Date or Option Closing Date, as the case may be, in form and substance reasonably satisfactory to the Underwriters.</w:t>
      </w:r>
    </w:p>
    <w:p>
      <w:pPr>
        <w:spacing w:after="0" w:line="123" w:lineRule="exact"/>
        <w:rPr>
          <w:rFonts w:ascii="Arial" w:cs="Arial" w:eastAsia="Arial" w:hAnsi="Arial"/>
          <w:sz w:val="16"/>
          <w:szCs w:val="16"/>
          <w:color w:val="auto"/>
        </w:rPr>
      </w:pPr>
    </w:p>
    <w:p>
      <w:pPr>
        <w:ind w:right="120" w:firstLine="464"/>
        <w:spacing w:after="0" w:line="276" w:lineRule="auto"/>
        <w:tabs>
          <w:tab w:leader="none" w:pos="711"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The Underwriters shall have received, on each of the date hereof and the Closing Date or Option Closing Date, as the case may be, a letter dated such date, in form and substance satisfactory to the Underwriters, from Deloitte Touche Tohmatsu Certified Public Accountants LLP, independent public accountants, containing statements and information of the type ordinarily included in accountants’ “comfort letters” to the Underwriters with respect to the financial statements and certain financial information contained in the Registration Statement, the Time of Sale Prospectus and the Prospectus;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letter delivered on the Closing Date shall use a “cut-off date” not earlier than the date hereof.</w:t>
      </w:r>
    </w:p>
    <w:p>
      <w:pPr>
        <w:spacing w:after="0" w:line="172" w:lineRule="exact"/>
        <w:rPr>
          <w:rFonts w:ascii="Arial" w:cs="Arial" w:eastAsia="Arial" w:hAnsi="Arial"/>
          <w:sz w:val="17"/>
          <w:szCs w:val="17"/>
          <w:color w:val="auto"/>
        </w:rPr>
      </w:pPr>
    </w:p>
    <w:p>
      <w:pPr>
        <w:ind w:right="40" w:firstLine="464"/>
        <w:spacing w:after="0" w:line="264" w:lineRule="auto"/>
        <w:tabs>
          <w:tab w:leader="none" w:pos="67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“lock-up” letters, each substantially in the form of Exhibit A hereto, executed by the individuals and entities listed on Schedule III relating to sales and certain other dispositions of Ordinary Shares or certain other securities, delivered to the Representatives on or before the date hereof, shall be in full force and effect on the Closing Date.</w:t>
      </w:r>
    </w:p>
    <w:p>
      <w:pPr>
        <w:spacing w:after="0" w:line="181" w:lineRule="exact"/>
        <w:rPr>
          <w:rFonts w:ascii="Arial" w:cs="Arial" w:eastAsia="Arial" w:hAnsi="Arial"/>
          <w:sz w:val="18"/>
          <w:szCs w:val="18"/>
          <w:color w:val="auto"/>
        </w:rPr>
      </w:pPr>
    </w:p>
    <w:p>
      <w:pPr>
        <w:ind w:left="760" w:hanging="296"/>
        <w:spacing w:after="0"/>
        <w:tabs>
          <w:tab w:leader="none" w:pos="7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Company and the Depositary shall have executed and delivered the Deposit Agreement and, in the case of the Company, a side letter (the</w:t>
      </w:r>
    </w:p>
    <w:p>
      <w:pPr>
        <w:spacing w:after="0" w:line="4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 Side Letter</w:t>
      </w:r>
      <w:r>
        <w:rPr>
          <w:rFonts w:ascii="Arial" w:cs="Arial" w:eastAsia="Arial" w:hAnsi="Arial"/>
          <w:sz w:val="18"/>
          <w:szCs w:val="18"/>
          <w:color w:val="auto"/>
        </w:rPr>
        <w:t>”) addressed to the Depositary, instructing the Depositary not to accept any shareholder’s deposit of Ordinary Shares in the Company’s American Depositary Receipt facility or issue any new American Depositary Receipts evidencing the American Depositary Shares to any shareholder or any third party, unless consented to by the Company, and the Deposit Agreement shall be in full force and effect on the Closing Date. The Company and the Depositary shall have taken all actions necessary to permit the deposit of the Shares and the issuance of the American Depositary Shares representing such Shares in accordance with the Deposit Agreement.</w:t>
      </w:r>
    </w:p>
    <w:p>
      <w:pPr>
        <w:spacing w:after="0" w:line="191" w:lineRule="exact"/>
        <w:rPr>
          <w:sz w:val="20"/>
          <w:szCs w:val="20"/>
          <w:color w:val="auto"/>
        </w:rPr>
      </w:pPr>
    </w:p>
    <w:p>
      <w:pPr>
        <w:ind w:right="460" w:firstLine="464"/>
        <w:spacing w:after="0" w:line="259" w:lineRule="auto"/>
        <w:tabs>
          <w:tab w:leader="none" w:pos="71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Depositary shall have furnished or caused to be furnished to the Underwriters a certificate satisfactory to the Representatives of one of its authorized officers with respect to the deposit with it of the Shares against issuance of the American Depositary Shares, the execution, issuance, countersignature and delivery of the American Depositary Shares pursuant to the Deposit Agreement and such other matters related thereto as the Representatives may reasonably request.</w:t>
      </w:r>
    </w:p>
    <w:p>
      <w:pPr>
        <w:spacing w:after="0" w:line="186"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American Depositary Shares representing the Shares shall have been approved for listing on the NASDAQ Global Select Market, subject only to official notice of issuance.</w:t>
      </w:r>
    </w:p>
    <w:p>
      <w:pPr>
        <w:spacing w:after="0" w:line="170" w:lineRule="exact"/>
        <w:rPr>
          <w:rFonts w:ascii="Arial" w:cs="Arial" w:eastAsia="Arial" w:hAnsi="Arial"/>
          <w:sz w:val="18"/>
          <w:szCs w:val="18"/>
          <w:color w:val="auto"/>
        </w:rPr>
      </w:pPr>
    </w:p>
    <w:p>
      <w:pPr>
        <w:ind w:firstLine="464"/>
        <w:spacing w:after="0" w:line="259" w:lineRule="auto"/>
        <w:tabs>
          <w:tab w:leader="none" w:pos="71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the Company elects to rely upon Rule 462(b) under the Securities Act, the Company shall have filed a Rule 462 Registration Statement with the Commission in compliance with Rule 462(b) promptly after 4:00 p.m., New York City time, on the date of this Agreement, and the Company shall have at the time of filing either paid to the Commission the filing fee for the Rule 462 Registration Statement or given irrevocable instructions for the payment of such fee pursuant to Rule 111(b) under the Securities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95" w:name="page296"/>
    <w:bookmarkEnd w:id="295"/>
    <w:p>
      <w:pPr>
        <w:jc w:val="both"/>
        <w:ind w:right="160" w:firstLine="464"/>
        <w:spacing w:after="0" w:line="312" w:lineRule="auto"/>
        <w:tabs>
          <w:tab w:leader="none" w:pos="711" w:val="left"/>
        </w:tabs>
        <w:numPr>
          <w:ilvl w:val="0"/>
          <w:numId w:val="2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46" w:lineRule="exact"/>
        <w:rPr>
          <w:rFonts w:ascii="Arial" w:cs="Arial" w:eastAsia="Arial" w:hAnsi="Arial"/>
          <w:sz w:val="16"/>
          <w:szCs w:val="16"/>
          <w:color w:val="auto"/>
        </w:rPr>
      </w:pPr>
    </w:p>
    <w:p>
      <w:pPr>
        <w:ind w:right="20" w:firstLine="464"/>
        <w:spacing w:after="0" w:line="264" w:lineRule="auto"/>
        <w:tabs>
          <w:tab w:leader="none" w:pos="68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the ADS Registration Statement, any Rule 462 Registration Statement, or any post-effective amendment to the Registration Statement, shall be in effect and no proceedings for such purpose shall have been instituted or threatened by the Commission.</w:t>
      </w:r>
    </w:p>
    <w:p>
      <w:pPr>
        <w:spacing w:after="0" w:line="181" w:lineRule="exact"/>
        <w:rPr>
          <w:rFonts w:ascii="Arial" w:cs="Arial" w:eastAsia="Arial" w:hAnsi="Arial"/>
          <w:sz w:val="18"/>
          <w:szCs w:val="18"/>
          <w:color w:val="auto"/>
        </w:rPr>
      </w:pPr>
    </w:p>
    <w:p>
      <w:pPr>
        <w:ind w:right="760" w:firstLine="464"/>
        <w:spacing w:after="0" w:line="277" w:lineRule="auto"/>
        <w:tabs>
          <w:tab w:leader="none" w:pos="69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transactions contemplated hereby.</w:t>
      </w:r>
    </w:p>
    <w:p>
      <w:pPr>
        <w:spacing w:after="0" w:line="170" w:lineRule="exact"/>
        <w:rPr>
          <w:rFonts w:ascii="Arial" w:cs="Arial" w:eastAsia="Arial" w:hAnsi="Arial"/>
          <w:sz w:val="18"/>
          <w:szCs w:val="18"/>
          <w:color w:val="auto"/>
        </w:rPr>
      </w:pPr>
    </w:p>
    <w:p>
      <w:pPr>
        <w:ind w:right="20" w:firstLine="464"/>
        <w:spacing w:after="0" w:line="257" w:lineRule="auto"/>
        <w:tabs>
          <w:tab w:leader="none" w:pos="67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On the Closing Date or Option Closing Date, as the case may be, the Representatives and counsel for the Underwriters shall have received such information, documents, certificates and opinions as they may reasonably require for the purposes of enabling them to pass upon the accuracy and completeness of any statement in the Registration Statement, the Time of Sale Prospectus and the Prospectus, issuance and sale of the Shares as contemplated herein, or in order to evidence the accuracy of any of the representations and warranties, or the satisfaction of any of the conditions or agreements, herein contained.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several obligations of the Underwriters to purchase Additional Shares hereunder are subject to the delivery to the Representatives on the applicable Option Closing Date of such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291" w:lineRule="exact"/>
        <w:rPr>
          <w:sz w:val="20"/>
          <w:szCs w:val="20"/>
          <w:color w:val="auto"/>
        </w:rPr>
      </w:pPr>
    </w:p>
    <w:p>
      <w:pPr>
        <w:ind w:left="640" w:hanging="176"/>
        <w:spacing w:after="0"/>
        <w:tabs>
          <w:tab w:leader="none" w:pos="640" w:val="left"/>
        </w:tabs>
        <w:numPr>
          <w:ilvl w:val="0"/>
          <w:numId w:val="253"/>
        </w:numPr>
        <w:rPr>
          <w:rFonts w:ascii="Arial" w:cs="Arial" w:eastAsia="Arial" w:hAnsi="Arial"/>
          <w:sz w:val="18"/>
          <w:szCs w:val="18"/>
          <w:color w:val="auto"/>
        </w:rPr>
      </w:pPr>
      <w:r>
        <w:rPr>
          <w:rFonts w:ascii="Arial" w:cs="Arial" w:eastAsia="Arial" w:hAnsi="Arial"/>
          <w:sz w:val="18"/>
          <w:szCs w:val="18"/>
          <w:b w:val="1"/>
          <w:bCs w:val="1"/>
          <w:i w:val="1"/>
          <w:iCs w:val="1"/>
          <w:color w:val="auto"/>
        </w:rPr>
        <w:t>Covenants of the Company</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 addition to its other agreements and obligations hereunder, covenants with each Underwriter as follows:</w:t>
      </w:r>
    </w:p>
    <w:p>
      <w:pPr>
        <w:spacing w:after="0" w:line="225" w:lineRule="exact"/>
        <w:rPr>
          <w:sz w:val="20"/>
          <w:szCs w:val="20"/>
          <w:color w:val="auto"/>
        </w:rPr>
      </w:pPr>
    </w:p>
    <w:p>
      <w:pPr>
        <w:ind w:left="700" w:hanging="236"/>
        <w:spacing w:after="0"/>
        <w:tabs>
          <w:tab w:leader="none" w:pos="7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 file the Prospectus with the Commission within the time periods specified by Rule 424(b) and Rule 430A under the Securities Act.</w:t>
      </w:r>
    </w:p>
    <w:p>
      <w:pPr>
        <w:spacing w:after="0" w:line="225" w:lineRule="exact"/>
        <w:rPr>
          <w:rFonts w:ascii="Arial" w:cs="Arial" w:eastAsia="Arial" w:hAnsi="Arial"/>
          <w:sz w:val="18"/>
          <w:szCs w:val="18"/>
          <w:color w:val="auto"/>
        </w:rPr>
      </w:pPr>
    </w:p>
    <w:p>
      <w:pPr>
        <w:ind w:firstLine="464"/>
        <w:spacing w:after="0" w:line="297" w:lineRule="auto"/>
        <w:tabs>
          <w:tab w:leader="none" w:pos="71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To furnish to the Representatives, without charge, six signed copies of the Registration Statement and the ADS Registration Statement (including, in each case, exhibits thereto) and for delivery to each other Underwriter a conformed copy of the Registration Statement and the ADS Registration Statement (in each case, without exhibits thereto) and to furnish to the Representatives in New York City, without charge, prior to 10:00 a.m. New York City time on the business day next succeeding the date of this Agreement and during the period mentioned in Sections 6(f) or 6(g) below, as many copies of the Time of Sale Prospectus, the Prospectus and any supplements and amendments thereto or to the Registration Statement as the Representatives may reasonably request.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96" w:name="page297"/>
    <w:bookmarkEnd w:id="296"/>
    <w:p>
      <w:pPr>
        <w:ind w:left="-40" w:right="40" w:firstLine="464"/>
        <w:spacing w:after="0" w:line="259" w:lineRule="auto"/>
        <w:tabs>
          <w:tab w:leader="none" w:pos="661" w:val="left"/>
        </w:tabs>
        <w:numPr>
          <w:ilvl w:val="0"/>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Before amending or supplementing the Registration Statement, the ADS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186" w:lineRule="exact"/>
        <w:rPr>
          <w:rFonts w:ascii="Arial" w:cs="Arial" w:eastAsia="Arial" w:hAnsi="Arial"/>
          <w:sz w:val="18"/>
          <w:szCs w:val="18"/>
          <w:color w:val="auto"/>
        </w:rPr>
      </w:pPr>
    </w:p>
    <w:p>
      <w:pPr>
        <w:ind w:left="-40" w:right="220" w:firstLine="464"/>
        <w:spacing w:after="0" w:line="277" w:lineRule="auto"/>
        <w:tabs>
          <w:tab w:leader="none" w:pos="67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70" w:lineRule="exact"/>
        <w:rPr>
          <w:rFonts w:ascii="Arial" w:cs="Arial" w:eastAsia="Arial" w:hAnsi="Arial"/>
          <w:sz w:val="18"/>
          <w:szCs w:val="18"/>
          <w:color w:val="auto"/>
        </w:rPr>
      </w:pPr>
    </w:p>
    <w:p>
      <w:pPr>
        <w:ind w:left="-40" w:right="200" w:firstLine="464"/>
        <w:spacing w:after="0" w:line="264" w:lineRule="auto"/>
        <w:tabs>
          <w:tab w:leader="none" w:pos="65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Without the prior consent of the Representatives,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1" w:lineRule="exact"/>
        <w:rPr>
          <w:rFonts w:ascii="Arial" w:cs="Arial" w:eastAsia="Arial" w:hAnsi="Arial"/>
          <w:sz w:val="18"/>
          <w:szCs w:val="18"/>
          <w:color w:val="auto"/>
        </w:rPr>
      </w:pPr>
    </w:p>
    <w:p>
      <w:pPr>
        <w:ind w:left="-40" w:right="60" w:firstLine="464"/>
        <w:spacing w:after="0" w:line="289" w:lineRule="auto"/>
        <w:tabs>
          <w:tab w:leader="none" w:pos="64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66" w:lineRule="exact"/>
        <w:rPr>
          <w:rFonts w:ascii="Arial" w:cs="Arial" w:eastAsia="Arial" w:hAnsi="Arial"/>
          <w:sz w:val="16"/>
          <w:szCs w:val="16"/>
          <w:color w:val="auto"/>
        </w:rPr>
      </w:pPr>
    </w:p>
    <w:p>
      <w:pPr>
        <w:ind w:left="-40" w:firstLine="464"/>
        <w:spacing w:after="0" w:line="288" w:lineRule="auto"/>
        <w:tabs>
          <w:tab w:leader="none" w:pos="67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69" w:lineRule="exact"/>
        <w:rPr>
          <w:rFonts w:ascii="Arial" w:cs="Arial" w:eastAsia="Arial" w:hAnsi="Arial"/>
          <w:sz w:val="16"/>
          <w:szCs w:val="16"/>
          <w:color w:val="auto"/>
        </w:rPr>
      </w:pPr>
    </w:p>
    <w:p>
      <w:pPr>
        <w:ind w:left="-40" w:right="40" w:firstLine="464"/>
        <w:spacing w:after="0" w:line="277" w:lineRule="auto"/>
        <w:tabs>
          <w:tab w:leader="none" w:pos="67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endeavor to qualify the Shares and the American Depositary Shares for offer and sale under the securities or Blue Sky laws of such jurisdictions as the Representatives shall reasonably request.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80" w:top="274" w:right="279" w:bottom="1440" w:gutter="0" w:footer="0" w:header="0"/>
        </w:sectPr>
      </w:pPr>
    </w:p>
    <w:bookmarkStart w:id="297" w:name="page298"/>
    <w:bookmarkEnd w:id="297"/>
    <w:p>
      <w:pPr>
        <w:ind w:left="-20" w:right="20" w:firstLine="464"/>
        <w:spacing w:after="0" w:line="297" w:lineRule="auto"/>
        <w:tabs>
          <w:tab w:leader="none" w:pos="651" w:val="left"/>
        </w:tabs>
        <w:numPr>
          <w:ilvl w:val="0"/>
          <w:numId w:val="2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advise the Representatives promptly and confirming such advice in writing, of any request by the Commission for amendments or supplements to the Registration Statement, the ADS Registration Statement, the Form 8-A Registration Statement, any Time of Sale Prospectus, Prospectus or free writing prospectus or for additional information with respect thereto, or of notice of institution of proceedings for, or the entry of a stop order, suspending the effectiveness of the Registration Statement or the ADS Registration Statement and, if the Commission should enter a stop order suspending the effectiveness of the Registration Statement or the ADS Registration Statement, to use its best efforts to obtain the lifting or removal of such order as soon as possible.</w:t>
      </w:r>
    </w:p>
    <w:p>
      <w:pPr>
        <w:spacing w:after="0" w:line="158" w:lineRule="exact"/>
        <w:rPr>
          <w:rFonts w:ascii="Arial" w:cs="Arial" w:eastAsia="Arial" w:hAnsi="Arial"/>
          <w:sz w:val="16"/>
          <w:szCs w:val="16"/>
          <w:color w:val="auto"/>
        </w:rPr>
      </w:pPr>
    </w:p>
    <w:p>
      <w:pPr>
        <w:ind w:left="-20" w:right="20" w:firstLine="464"/>
        <w:spacing w:after="0" w:line="259" w:lineRule="auto"/>
        <w:tabs>
          <w:tab w:leader="none" w:pos="65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and to the Representatives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(including, but not limited to, Rule 158 under the Securities Act).</w:t>
      </w:r>
    </w:p>
    <w:p>
      <w:pPr>
        <w:spacing w:after="0" w:line="186" w:lineRule="exact"/>
        <w:rPr>
          <w:rFonts w:ascii="Arial" w:cs="Arial" w:eastAsia="Arial" w:hAnsi="Arial"/>
          <w:sz w:val="18"/>
          <w:szCs w:val="18"/>
          <w:color w:val="auto"/>
        </w:rPr>
      </w:pPr>
    </w:p>
    <w:p>
      <w:pPr>
        <w:ind w:left="-20" w:right="20" w:firstLine="464"/>
        <w:spacing w:after="0" w:line="271" w:lineRule="auto"/>
        <w:tabs>
          <w:tab w:leader="none" w:pos="69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During the period when the Prospectus is required to be delivered under the Securities Act, to file all documents required to be filed with the Commission pursuant to the Exchange Act within the time periods required by the Exchange Act and the rules and regulations of the Commission thereunder; during the five-year period after the date of this Agreement, to furnish to the Representatives and, upon request, to each of the other Underwriters, as soon as practicable after the end of each fiscal year, a copy of its annual report to shareholders for such year; and to furnish to the Representatives (i) as soon as available, a copy of each report of the Company filed with or furnished to the Commission under the Exchange Act or mailed to shareholders,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EDGAR reporting system, it is not required to furnish such reports filed through EDGAR to the Underwriters.</w:t>
      </w:r>
    </w:p>
    <w:p>
      <w:pPr>
        <w:spacing w:after="0" w:line="178" w:lineRule="exact"/>
        <w:rPr>
          <w:rFonts w:ascii="Arial" w:cs="Arial" w:eastAsia="Arial" w:hAnsi="Arial"/>
          <w:sz w:val="17"/>
          <w:szCs w:val="17"/>
          <w:color w:val="auto"/>
        </w:rPr>
      </w:pPr>
    </w:p>
    <w:p>
      <w:pPr>
        <w:ind w:left="-20" w:right="40" w:firstLine="464"/>
        <w:spacing w:after="0" w:line="255" w:lineRule="auto"/>
        <w:tabs>
          <w:tab w:leader="none" w:pos="65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apply the net proceeds to the Company from the sale of the Shares in the manner set forth under the heading “Use of Proceeds” in the Time of Sale Prospectus and to file such reports with the Commission with respect to the sale of the Shares and the application of the proceeds therefrom as may be required by Rule 463 under the Securities Act; not to invest, or otherwise use the proceeds received by the Company from its sale of the American Depositary Shares in such a manner (i) as would require the Company or any of the Subsidiaries and Affiliated Entities to register as an investment company under the 1940 Act, and (ii) that would result in the Company being not in compliance with any applicable laws, rules and regulations of the State Administration of Foreign Exchange of the PRC.</w:t>
      </w:r>
    </w:p>
    <w:p>
      <w:pPr>
        <w:spacing w:after="0" w:line="193" w:lineRule="exact"/>
        <w:rPr>
          <w:rFonts w:ascii="Arial" w:cs="Arial" w:eastAsia="Arial" w:hAnsi="Arial"/>
          <w:sz w:val="18"/>
          <w:szCs w:val="18"/>
          <w:color w:val="auto"/>
        </w:rPr>
      </w:pPr>
    </w:p>
    <w:p>
      <w:pPr>
        <w:ind w:left="-20" w:firstLine="464"/>
        <w:spacing w:after="0" w:line="264" w:lineRule="auto"/>
        <w:tabs>
          <w:tab w:leader="none" w:pos="74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Not to, and to cause each of its Subsidiaries and Affiliated Entities not to, take, directly or indirectly, any action designed to or that would constitute or that might reasonably be expected to cause or result in the stabilization or manipulation of the price of any security of the Company to facilitate the sale or resale of the Shares or the American Depositary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74" w:right="239" w:bottom="1440" w:gutter="0" w:footer="0" w:header="0"/>
        </w:sectPr>
      </w:pPr>
    </w:p>
    <w:bookmarkStart w:id="298" w:name="page299"/>
    <w:bookmarkEnd w:id="298"/>
    <w:p>
      <w:pPr>
        <w:ind w:left="-20" w:right="20" w:firstLine="464"/>
        <w:spacing w:after="0" w:line="270" w:lineRule="auto"/>
        <w:tabs>
          <w:tab w:leader="none" w:pos="691" w:val="left"/>
        </w:tabs>
        <w:numPr>
          <w:ilvl w:val="0"/>
          <w:numId w:val="2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The Company will indemnify and hold harmless the Underwriters against any transaction, stamp, capital or other issuance, registration, transaction, transfer, withholding or other taxes or duties, including any interest and penalties, on the creation, issue and sale of the Shares or American Depositary Shares to the Underwriters and on the execution and delivery of, and the performance of the obligations (including the initial resale of the American Depositary Shares by the underwriters) under, this Agreement or the Deposit Agreement and on bringing any such document within any jurisdiction; and (ii) all payments to be made by the Company hereunder shall be made without withholding or deduction for or on account of any present or future taxes, duties or governmental charges 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 except, in the case of either (i) or (ii), to the extent of withholding or income taxes that would not have been imposed but for such Underwriter’s being a resident of the jurisdiction imposing such taxes or having a permanent establishment therein.</w:t>
      </w:r>
    </w:p>
    <w:p>
      <w:pPr>
        <w:spacing w:after="0" w:line="177" w:lineRule="exact"/>
        <w:rPr>
          <w:rFonts w:ascii="Arial" w:cs="Arial" w:eastAsia="Arial" w:hAnsi="Arial"/>
          <w:sz w:val="17"/>
          <w:szCs w:val="17"/>
          <w:color w:val="auto"/>
        </w:rPr>
      </w:pPr>
    </w:p>
    <w:p>
      <w:pPr>
        <w:ind w:left="-20" w:firstLine="464"/>
        <w:spacing w:after="0" w:line="277" w:lineRule="auto"/>
        <w:tabs>
          <w:tab w:leader="none" w:pos="6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comply with all applicable securities and other laws, rules and regulations in each jurisdiction in which the Directed American Depositary Shares are offered in connection with the Directed Share Program.</w:t>
      </w:r>
    </w:p>
    <w:p>
      <w:pPr>
        <w:spacing w:after="0" w:line="170" w:lineRule="exact"/>
        <w:rPr>
          <w:rFonts w:ascii="Arial" w:cs="Arial" w:eastAsia="Arial" w:hAnsi="Arial"/>
          <w:sz w:val="18"/>
          <w:szCs w:val="18"/>
          <w:color w:val="auto"/>
        </w:rPr>
      </w:pPr>
    </w:p>
    <w:p>
      <w:pPr>
        <w:ind w:left="-20" w:right="40" w:firstLine="464"/>
        <w:spacing w:after="0" w:line="259" w:lineRule="auto"/>
        <w:tabs>
          <w:tab w:leader="none" w:pos="6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 connection with the Directed Share Program, to ensure that the Directed American Depositary Shares will be restricted to the extent required by FINRA or the FINRA rules from sale, transfer, assignment, pledge or hypothecation (it being understood that the Designated Underwriter will notify the Company as to which Participants will need to be so restricted); and to direct the transfer agent to place stop transfer restrictions upon such securities for such period of time.</w:t>
      </w:r>
    </w:p>
    <w:p>
      <w:pPr>
        <w:spacing w:after="0" w:line="186" w:lineRule="exact"/>
        <w:rPr>
          <w:rFonts w:ascii="Arial" w:cs="Arial" w:eastAsia="Arial" w:hAnsi="Arial"/>
          <w:sz w:val="18"/>
          <w:szCs w:val="18"/>
          <w:color w:val="auto"/>
        </w:rPr>
      </w:pPr>
    </w:p>
    <w:p>
      <w:pPr>
        <w:jc w:val="both"/>
        <w:ind w:left="-20" w:right="280" w:firstLine="464"/>
        <w:spacing w:after="0" w:line="286" w:lineRule="auto"/>
        <w:tabs>
          <w:tab w:leader="none" w:pos="69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To pay transaction, stamp, capital or other issuance, registration, transaction, transfer, withholding or other taxes or duties, if any, incurred by the Underwriters in connection with the Directed Share Program. The Company will comply with all applicable securities and other applicable laws, rules and regulations in each foreign jurisdiction in which the Directed Shares are offered in connection with the Directed Share Program.</w:t>
      </w:r>
    </w:p>
    <w:p>
      <w:pPr>
        <w:spacing w:after="0" w:line="165" w:lineRule="exact"/>
        <w:rPr>
          <w:rFonts w:ascii="Arial" w:cs="Arial" w:eastAsia="Arial" w:hAnsi="Arial"/>
          <w:sz w:val="17"/>
          <w:szCs w:val="17"/>
          <w:color w:val="auto"/>
        </w:rPr>
      </w:pPr>
    </w:p>
    <w:p>
      <w:pPr>
        <w:ind w:left="-20" w:right="140" w:firstLine="464"/>
        <w:spacing w:after="0" w:line="308" w:lineRule="auto"/>
        <w:tabs>
          <w:tab w:leader="none" w:pos="66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To comply with the terms of the Deposit Agreement so that the American Depositary Shares will be issued by the Depositary and delivered to each Underwriter’s participant account in DTC, pursuant to this Agreement on the Closing Date and each applicable Option Closing Date.</w:t>
      </w:r>
    </w:p>
    <w:p>
      <w:pPr>
        <w:spacing w:after="0" w:line="146" w:lineRule="exact"/>
        <w:rPr>
          <w:rFonts w:ascii="Arial" w:cs="Arial" w:eastAsia="Arial" w:hAnsi="Arial"/>
          <w:sz w:val="17"/>
          <w:szCs w:val="17"/>
          <w:color w:val="auto"/>
        </w:rPr>
      </w:pPr>
    </w:p>
    <w:p>
      <w:pPr>
        <w:ind w:left="-20" w:right="240" w:firstLine="464"/>
        <w:spacing w:after="0" w:line="257" w:lineRule="auto"/>
        <w:tabs>
          <w:tab w:leader="none" w:pos="67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 it will not attempt to avoid any judgment in connection with this Agreement obtained by it, applied to it, or denied to it in a court of competent jurisdiction outside the Cayman Islands; (ii) following the consummation of the offering, to use its reasonable efforts to obtain and maintain all approvals required in the Cayman Islands to pay and remit outside the Cayman Islands all dividends declared by the Company and payable on the Ordinary Shares, if any; and (iii) to use its reasonable efforts to obtain and maintain all approvals, if any, required in the Cayman Islands for the Company to acquire sufficient foreign exchange for the payment of dividends and all other relevant purposes.</w:t>
      </w:r>
    </w:p>
    <w:p>
      <w:pPr>
        <w:spacing w:after="0" w:line="188" w:lineRule="exact"/>
        <w:rPr>
          <w:rFonts w:ascii="Arial" w:cs="Arial" w:eastAsia="Arial" w:hAnsi="Arial"/>
          <w:sz w:val="18"/>
          <w:szCs w:val="18"/>
          <w:color w:val="auto"/>
        </w:rPr>
      </w:pPr>
    </w:p>
    <w:p>
      <w:pPr>
        <w:ind w:left="-20" w:right="140" w:firstLine="464"/>
        <w:spacing w:after="0" w:line="302" w:lineRule="auto"/>
        <w:tabs>
          <w:tab w:leader="none" w:pos="651"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To comply with the PRC Overseas Investment and Listing Regulations, and to use its reasonable efforts to cause holders of its ordinary shares that are, or that are directly or indirectly owned or controlled by, Chinese residents or Chinese citizens, to comply with the PRC Overseas Investment and Listing Regulations applicable to them, including, without limitation, requesting each such shareholder to complete any registration and other procedures required under applicable PRC Overseas Investment and Listing Regulations (including any applicable rules and regulations of the SAFE).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299" w:name="page300"/>
    <w:bookmarkEnd w:id="299"/>
    <w:p>
      <w:pPr>
        <w:ind w:left="-8" w:right="600" w:firstLine="464"/>
        <w:spacing w:after="0" w:line="277" w:lineRule="auto"/>
        <w:tabs>
          <w:tab w:leader="none" w:pos="703" w:val="left"/>
        </w:tabs>
        <w:numPr>
          <w:ilvl w:val="1"/>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two-year period beginning on the Closing Date, the Company will ensure compliance in all material respects with PRC laws and regulations concerning content and other information dissemination on the internet.</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258"/>
        </w:numPr>
        <w:rPr>
          <w:rFonts w:ascii="Arial" w:cs="Arial" w:eastAsia="Arial" w:hAnsi="Arial"/>
          <w:sz w:val="16"/>
          <w:szCs w:val="16"/>
          <w:color w:val="auto"/>
        </w:rPr>
      </w:pPr>
      <w:r>
        <w:rPr>
          <w:rFonts w:ascii="Arial" w:cs="Arial" w:eastAsia="Arial" w:hAnsi="Arial"/>
          <w:sz w:val="16"/>
          <w:szCs w:val="16"/>
          <w:color w:val="auto"/>
        </w:rPr>
        <w:t>The Company will promptly notify the Representatives if the Company ceases to be an Emerging Growth Company at any time prior to the later of</w:t>
      </w:r>
    </w:p>
    <w:p>
      <w:pPr>
        <w:spacing w:after="0" w:line="46" w:lineRule="exact"/>
        <w:rPr>
          <w:rFonts w:ascii="Arial" w:cs="Arial" w:eastAsia="Arial" w:hAnsi="Arial"/>
          <w:sz w:val="16"/>
          <w:szCs w:val="16"/>
          <w:color w:val="auto"/>
        </w:rPr>
      </w:pPr>
    </w:p>
    <w:p>
      <w:pPr>
        <w:ind w:left="-8" w:right="560" w:firstLine="8"/>
        <w:spacing w:after="0" w:line="261" w:lineRule="auto"/>
        <w:tabs>
          <w:tab w:leader="none" w:pos="23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completion of the distribution of the Shares within the meaning of the Securities Act and (b) completion of the Restricted Period (as defined in this Section 6).</w:t>
      </w:r>
    </w:p>
    <w:p>
      <w:pPr>
        <w:spacing w:after="0" w:line="183" w:lineRule="exact"/>
        <w:rPr>
          <w:rFonts w:ascii="Arial" w:cs="Arial" w:eastAsia="Arial" w:hAnsi="Arial"/>
          <w:sz w:val="18"/>
          <w:szCs w:val="18"/>
          <w:color w:val="auto"/>
        </w:rPr>
      </w:pPr>
    </w:p>
    <w:p>
      <w:pPr>
        <w:ind w:left="-8" w:right="40" w:firstLine="464"/>
        <w:spacing w:after="0" w:line="257" w:lineRule="auto"/>
        <w:tabs>
          <w:tab w:leader="none" w:pos="743"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88" w:lineRule="exact"/>
        <w:rPr>
          <w:rFonts w:ascii="Arial" w:cs="Arial" w:eastAsia="Arial" w:hAnsi="Arial"/>
          <w:sz w:val="18"/>
          <w:szCs w:val="18"/>
          <w:color w:val="auto"/>
        </w:rPr>
      </w:pPr>
    </w:p>
    <w:p>
      <w:pPr>
        <w:ind w:left="-8" w:right="420" w:firstLine="464"/>
        <w:spacing w:after="0" w:line="308" w:lineRule="auto"/>
        <w:tabs>
          <w:tab w:leader="none" w:pos="703"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To not release the Depositary from the obligations set forth in, or otherwise amend, terminate, fail to enforce or provide any consent under, the Depositary Side Letter during the Restricted Period (as defined below) without the prior written consents of the Representatives.</w:t>
      </w:r>
    </w:p>
    <w:p>
      <w:pPr>
        <w:spacing w:after="0" w:line="146" w:lineRule="exact"/>
        <w:rPr>
          <w:rFonts w:ascii="Arial" w:cs="Arial" w:eastAsia="Arial" w:hAnsi="Arial"/>
          <w:sz w:val="17"/>
          <w:szCs w:val="17"/>
          <w:color w:val="auto"/>
        </w:rPr>
      </w:pPr>
    </w:p>
    <w:p>
      <w:pPr>
        <w:ind w:left="-8" w:firstLine="464"/>
        <w:spacing w:after="0" w:line="286" w:lineRule="auto"/>
        <w:tabs>
          <w:tab w:leader="none" w:pos="703" w:val="left"/>
        </w:tabs>
        <w:numPr>
          <w:ilvl w:val="1"/>
          <w:numId w:val="259"/>
        </w:numPr>
        <w:rPr>
          <w:rFonts w:ascii="Arial" w:cs="Arial" w:eastAsia="Arial" w:hAnsi="Arial"/>
          <w:sz w:val="16"/>
          <w:szCs w:val="16"/>
          <w:color w:val="auto"/>
        </w:rPr>
      </w:pPr>
      <w:r>
        <w:rPr>
          <w:rFonts w:ascii="Arial" w:cs="Arial" w:eastAsia="Arial" w:hAnsi="Arial"/>
          <w:sz w:val="16"/>
          <w:szCs w:val="16"/>
          <w:color w:val="auto"/>
        </w:rPr>
        <w:t>Without the prior written consent of the Representatives on behalf of the Underwriters, the Company will not, during the period ending 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Ordinary Shares, American Depositary Shares or any securities convertible into or exercisable or exchangeable for Ordinary Shares or American Depositary Shares or (2) enter into any swap or other arrangement that transfers to another, in whole or in part, any of the economic consequences of ownership of the Ordinary Shares or American Depositary Shares, whether any such transaction described in clause (1) or (2) above is to be settled by delivery of Ordinary Shares, American Depositary Shares or such other securities, in cash or otherwise or (3) file any registration statement with the Commission relating to the offering of any Ordinary Shares, American Depositary Shares or any securities convertible into or exercisable or exchangeable for Ordinary Shares or American Depositary Shares. The restrictions contained in this paragraph shall not apply to (a) the Shares to be sold hereunder, (b) the issuance by the Company of Ordinary Shares upon the exercise of an option or warrant or the conversion of a security outstanding on the date hereof of which the Underwriters have been advised in writing, or (c) the establishment of a trading plan pursuant to Rule 10b5-1 under the Exchange Act for the transfer of Ordinary Shares, provided that (i) such plan does not provide for the transfer of Ordinary Shares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Ordinary Shares may be made under such plan during the Restricted Period.</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92"/>
          </w:cols>
          <w:pgMar w:left="248" w:top="274" w:right="259" w:bottom="1440" w:gutter="0" w:footer="0" w:header="0"/>
        </w:sectPr>
      </w:pPr>
    </w:p>
    <w:bookmarkStart w:id="300" w:name="page301"/>
    <w:bookmarkEnd w:id="300"/>
    <w:p>
      <w:pPr>
        <w:ind w:left="-8" w:firstLine="464"/>
        <w:spacing w:after="0" w:line="283" w:lineRule="auto"/>
        <w:tabs>
          <w:tab w:leader="none" w:pos="628" w:val="left"/>
        </w:tabs>
        <w:numPr>
          <w:ilvl w:val="1"/>
          <w:numId w:val="260"/>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Whether or not the transactions contemplated in this Agreement are consummated or this Agreement is terminated, the Company agrees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pay or cause to be paid all expenses incident to the performance of its obligations under this Agreement, including: (i) the fees, disbursements and expenses of the Company’s counsel and the Company’s accountants in connection with the registration and delivery of the Shares and the American Depositary Shares under the Securities Act and all other fees or expenses in connection with the preparation and filing of the Registration Statement, the ADS Registration Statement, the Form 8-A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and the American Depositary Shares to the Underwriters, including any transfer or other taxes payable thereon, (iii) the cost of printing or producing any Blue Sky or Legal Investment memorandum in connection with the offer and sale of the Shares or the American Depositary Shares under state securities laws and all expenses in connection with the qualification of the Shares and American Depositary Shares for offer and sale under state securities laws as provided in Section 6(h) hereof, including filing fees reasonable fees and disbursements of counsel for the Underwriters in connection with such qualification and in connection with the Blue Sky or Legal Investment memorandum, (iv) all filing fees in connection with the review and qualification of the offering of the Shares by FINRA, (v) all fees and expenses in connection with the preparation and filing of the registration statement on Form 8-A relating to the American Depositary Shares and all costs and expenses incident to listing the Shares on the New York Stock Exchange, (vi) the reasonable fees of counsel incurred in connection with the distribution and sale of the American Depositary Shares into Canada,</w:t>
      </w:r>
    </w:p>
    <w:p>
      <w:pPr>
        <w:spacing w:after="0" w:line="5" w:lineRule="exact"/>
        <w:rPr>
          <w:rFonts w:ascii="Arial" w:cs="Arial" w:eastAsia="Arial" w:hAnsi="Arial"/>
          <w:sz w:val="16"/>
          <w:szCs w:val="16"/>
          <w:color w:val="auto"/>
        </w:rPr>
      </w:pPr>
    </w:p>
    <w:p>
      <w:pPr>
        <w:ind w:left="-8" w:right="80" w:firstLine="8"/>
        <w:spacing w:after="0" w:line="268" w:lineRule="auto"/>
        <w:tabs>
          <w:tab w:leader="none" w:pos="347"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cost of printing certificates representing the Shares or the American Depositary Shares, (viii) the costs and charges of any transfer agent, registrar or depositary, (ix) the costs and expenses of the Company relating to investor presentations on any “road show” undertaken in connection with the marketing of the offering of the American Depositary Shares, except that the Representatives will pay certain expenses incurred by the Company, (x) the document production charges and expenses associated with printing this Agreement and (xi) all other costs and expenses incident to the performance of the obligations of the Company hereunder for which provision is not otherwise made in this Section. It is understood, however, that except as provided in Section 9 entitled “Indemnity and Contribution,” Section 10 entitled “Directed Share Program Indemnification” and the last paragraph of Section 12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80" w:lineRule="exact"/>
        <w:rPr>
          <w:rFonts w:ascii="Arial" w:cs="Arial" w:eastAsia="Arial" w:hAnsi="Arial"/>
          <w:sz w:val="17"/>
          <w:szCs w:val="17"/>
          <w:color w:val="auto"/>
        </w:rPr>
      </w:pPr>
    </w:p>
    <w:p>
      <w:pPr>
        <w:jc w:val="both"/>
        <w:ind w:left="-8" w:right="220" w:firstLine="464"/>
        <w:spacing w:after="0" w:line="266" w:lineRule="auto"/>
        <w:tabs>
          <w:tab w:leader="none" w:pos="628" w:val="left"/>
        </w:tabs>
        <w:numPr>
          <w:ilvl w:val="1"/>
          <w:numId w:val="261"/>
        </w:numPr>
        <w:rPr>
          <w:rFonts w:ascii="Arial" w:cs="Arial" w:eastAsia="Arial" w:hAnsi="Arial"/>
          <w:sz w:val="18"/>
          <w:szCs w:val="18"/>
          <w:color w:val="auto"/>
        </w:rPr>
      </w:pPr>
      <w:r>
        <w:rPr>
          <w:rFonts w:ascii="Arial" w:cs="Arial" w:eastAsia="Arial" w:hAnsi="Arial"/>
          <w:sz w:val="18"/>
          <w:szCs w:val="18"/>
          <w:b w:val="1"/>
          <w:bCs w:val="1"/>
          <w:i w:val="1"/>
          <w:iCs w:val="1"/>
          <w:color w:val="auto"/>
        </w:rPr>
        <w:t>Covenants of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Underwriter severally covenants with the Company not to take any action that would result in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under Rule 433(d) a free writing prospectus prepared by or on behalf of such Underwriter that otherwise would not be required to be filed by the Company thereunder, but for the action of such Underwriter.</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92"/>
          </w:cols>
          <w:pgMar w:left="248" w:top="270" w:right="259" w:bottom="1440" w:gutter="0" w:footer="0" w:header="0"/>
        </w:sectPr>
      </w:pPr>
    </w:p>
    <w:bookmarkStart w:id="301" w:name="page302"/>
    <w:bookmarkEnd w:id="301"/>
    <w:p>
      <w:pPr>
        <w:ind w:left="600" w:hanging="176"/>
        <w:spacing w:after="0"/>
        <w:tabs>
          <w:tab w:leader="none" w:pos="600" w:val="left"/>
        </w:tabs>
        <w:numPr>
          <w:ilvl w:val="0"/>
          <w:numId w:val="26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and Contribution</w:t>
      </w:r>
      <w:r>
        <w:rPr>
          <w:rFonts w:ascii="Arial" w:cs="Arial" w:eastAsia="Arial" w:hAnsi="Arial"/>
          <w:sz w:val="18"/>
          <w:szCs w:val="18"/>
          <w:b w:val="1"/>
          <w:bCs w:val="1"/>
          <w:color w:val="auto"/>
        </w:rPr>
        <w:t>.</w:t>
      </w:r>
    </w:p>
    <w:p>
      <w:pPr>
        <w:spacing w:after="0" w:line="121" w:lineRule="exact"/>
        <w:rPr>
          <w:sz w:val="20"/>
          <w:szCs w:val="20"/>
          <w:color w:val="auto"/>
        </w:rPr>
      </w:pPr>
    </w:p>
    <w:p>
      <w:pPr>
        <w:ind w:left="-40" w:firstLine="464"/>
        <w:spacing w:after="0" w:line="268" w:lineRule="auto"/>
        <w:tabs>
          <w:tab w:leader="none" w:pos="66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Company agrees to indemnify and hold harmless each Underwriter, each director, officer, employee,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the ADS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7"/>
          <w:szCs w:val="17"/>
          <w:b w:val="1"/>
          <w:bCs w:val="1"/>
          <w:color w:val="auto"/>
        </w:rPr>
        <w:t>road show</w:t>
      </w:r>
      <w:r>
        <w:rPr>
          <w:rFonts w:ascii="Arial" w:cs="Arial" w:eastAsia="Arial" w:hAnsi="Arial"/>
          <w:sz w:val="17"/>
          <w:szCs w:val="17"/>
          <w:color w:val="auto"/>
        </w:rPr>
        <w:t>”), or the Prospectus or any amendment or supplement thereto caused by any omission or alleged omission to state therein a material fact required to be stated therein or necessary to make the statements therein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except insofar as such losses, claims, damages or liabilities are caused by any such untrue statement or omission or alleged untrue statement or omission based upon information furnished to the Company in writing by such Underwriter through the Representatives expressly for use therein.</w:t>
      </w:r>
    </w:p>
    <w:p>
      <w:pPr>
        <w:spacing w:after="0" w:line="185" w:lineRule="exact"/>
        <w:rPr>
          <w:rFonts w:ascii="Arial" w:cs="Arial" w:eastAsia="Arial" w:hAnsi="Arial"/>
          <w:sz w:val="17"/>
          <w:szCs w:val="17"/>
          <w:color w:val="auto"/>
        </w:rPr>
      </w:pPr>
    </w:p>
    <w:p>
      <w:pPr>
        <w:ind w:left="-40" w:right="140" w:firstLine="464"/>
        <w:spacing w:after="0" w:line="271" w:lineRule="auto"/>
        <w:tabs>
          <w:tab w:leader="none" w:pos="67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consists of the concession figures appearing in the third paragraph, the disclosure on sales to discretionary accounts appearing in the seventh paragraph and the addresses of the Representatives appearing in the nineteenth paragraph under the caption “Underwriting” (the “</w:t>
      </w:r>
      <w:r>
        <w:rPr>
          <w:rFonts w:ascii="Arial" w:cs="Arial" w:eastAsia="Arial" w:hAnsi="Arial"/>
          <w:sz w:val="17"/>
          <w:szCs w:val="17"/>
          <w:b w:val="1"/>
          <w:bCs w:val="1"/>
          <w:color w:val="auto"/>
        </w:rPr>
        <w:t>Underwriter Information</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80" w:top="270" w:right="259" w:bottom="1440" w:gutter="0" w:footer="0" w:header="0"/>
        </w:sectPr>
      </w:pPr>
    </w:p>
    <w:bookmarkStart w:id="302" w:name="page303"/>
    <w:bookmarkEnd w:id="302"/>
    <w:p>
      <w:pPr>
        <w:ind w:left="-8" w:firstLine="464"/>
        <w:spacing w:after="0" w:line="282" w:lineRule="auto"/>
        <w:tabs>
          <w:tab w:leader="none" w:pos="693" w:val="left"/>
        </w:tabs>
        <w:numPr>
          <w:ilvl w:val="1"/>
          <w:numId w:val="2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any proceeding (including any governmental investigation) shall be instituted involving any person in respect of which indemnity may be sought pursuant to Section 9(a), or 9(b),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(i)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 officers who sign the Registration Statement and each person, if any, who controls the Company within the meaning of either such Section,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w:t>
      </w:r>
    </w:p>
    <w:p>
      <w:pPr>
        <w:spacing w:after="0" w:line="12" w:lineRule="exact"/>
        <w:rPr>
          <w:rFonts w:ascii="Arial" w:cs="Arial" w:eastAsia="Arial" w:hAnsi="Arial"/>
          <w:sz w:val="16"/>
          <w:szCs w:val="16"/>
          <w:color w:val="auto"/>
        </w:rPr>
      </w:pPr>
    </w:p>
    <w:p>
      <w:pPr>
        <w:ind w:left="-8" w:right="40" w:firstLine="8"/>
        <w:spacing w:after="0" w:line="271" w:lineRule="auto"/>
        <w:tabs>
          <w:tab w:leader="none" w:pos="207" w:val="left"/>
        </w:tabs>
        <w:numPr>
          <w:ilvl w:val="0"/>
          <w:numId w:val="265"/>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8" w:lineRule="exact"/>
        <w:rPr>
          <w:rFonts w:ascii="Arial" w:cs="Arial" w:eastAsia="Arial" w:hAnsi="Arial"/>
          <w:sz w:val="17"/>
          <w:szCs w:val="17"/>
          <w:color w:val="auto"/>
        </w:rPr>
      </w:pPr>
    </w:p>
    <w:p>
      <w:pPr>
        <w:ind w:left="-8" w:right="80" w:firstLine="464"/>
        <w:spacing w:after="0" w:line="268" w:lineRule="auto"/>
        <w:tabs>
          <w:tab w:leader="none" w:pos="703"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9(a) or 9(b),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Shares they have purchased hereunder, and not joint.</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12"/>
          </w:cols>
          <w:pgMar w:left="248" w:top="274" w:right="239" w:bottom="1440" w:gutter="0" w:footer="0" w:header="0"/>
        </w:sectPr>
      </w:pPr>
    </w:p>
    <w:bookmarkStart w:id="303" w:name="page304"/>
    <w:bookmarkEnd w:id="303"/>
    <w:p>
      <w:pPr>
        <w:ind w:left="-8" w:right="40" w:firstLine="464"/>
        <w:spacing w:after="0" w:line="269" w:lineRule="auto"/>
        <w:tabs>
          <w:tab w:leader="none" w:pos="693" w:val="left"/>
        </w:tabs>
        <w:numPr>
          <w:ilvl w:val="0"/>
          <w:numId w:val="2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and the Underwriters agree that it would not be just or equitable if contribution pursuant to this Section 9 were determined by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allocation (even if the Underwriters were treated as one entity for such purpose) or by any other method of allocation that does not take account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9(d)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182" w:lineRule="exact"/>
        <w:rPr>
          <w:rFonts w:ascii="Arial" w:cs="Arial" w:eastAsia="Arial" w:hAnsi="Arial"/>
          <w:sz w:val="17"/>
          <w:szCs w:val="17"/>
          <w:color w:val="auto"/>
        </w:rPr>
      </w:pPr>
    </w:p>
    <w:p>
      <w:pPr>
        <w:ind w:left="-8" w:right="20" w:firstLine="464"/>
        <w:spacing w:after="0" w:line="279" w:lineRule="auto"/>
        <w:tabs>
          <w:tab w:leader="none" w:pos="673"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9 and Section 6(n) and the representations, warranties and other statements of the Company contained in this Agreement shall remain operative and in full force and effect regardless of (i) any termination of this Agreement, (ii) any investigation made by or on behalf of (a) any Underwriter, any person controlling any Underwriter or any affiliate of any Underwriter, or (b) the Company, its officers or directors or any person controlling the Company and (iii) acceptance of and payment for any of the Shares.</w:t>
      </w:r>
    </w:p>
    <w:p>
      <w:pPr>
        <w:spacing w:after="0" w:line="280" w:lineRule="exact"/>
        <w:rPr>
          <w:sz w:val="20"/>
          <w:szCs w:val="20"/>
          <w:color w:val="auto"/>
        </w:rPr>
      </w:pPr>
    </w:p>
    <w:p>
      <w:pPr>
        <w:ind w:left="732" w:hanging="276"/>
        <w:spacing w:after="0"/>
        <w:tabs>
          <w:tab w:leader="none" w:pos="732" w:val="left"/>
        </w:tabs>
        <w:numPr>
          <w:ilvl w:val="0"/>
          <w:numId w:val="267"/>
        </w:numPr>
        <w:rPr>
          <w:rFonts w:ascii="Arial" w:cs="Arial" w:eastAsia="Arial" w:hAnsi="Arial"/>
          <w:sz w:val="18"/>
          <w:szCs w:val="18"/>
          <w:color w:val="auto"/>
        </w:rPr>
      </w:pPr>
      <w:r>
        <w:rPr>
          <w:rFonts w:ascii="Arial" w:cs="Arial" w:eastAsia="Arial" w:hAnsi="Arial"/>
          <w:sz w:val="18"/>
          <w:szCs w:val="18"/>
          <w:b w:val="1"/>
          <w:bCs w:val="1"/>
          <w:i w:val="1"/>
          <w:iCs w:val="1"/>
          <w:color w:val="auto"/>
        </w:rPr>
        <w:t>Directed Share Program Indemnification.</w:t>
      </w:r>
    </w:p>
    <w:p>
      <w:pPr>
        <w:spacing w:after="0" w:line="117" w:lineRule="exact"/>
        <w:rPr>
          <w:sz w:val="20"/>
          <w:szCs w:val="20"/>
          <w:color w:val="auto"/>
        </w:rPr>
      </w:pPr>
    </w:p>
    <w:p>
      <w:pPr>
        <w:ind w:left="-8" w:right="200" w:firstLine="464"/>
        <w:spacing w:after="0" w:line="286" w:lineRule="auto"/>
        <w:tabs>
          <w:tab w:leader="none" w:pos="693"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the Designated Underwriter, each person, if any, who controls the Designated Underwriter within the meaning of either Section 15 of the Securities Act or Section 20 of the Exchange Act and each affiliate of the Designated Underwriter within the meaning of Rule 405 of the Securities Act (the “</w:t>
      </w:r>
      <w:r>
        <w:rPr>
          <w:rFonts w:ascii="Arial" w:cs="Arial" w:eastAsia="Arial" w:hAnsi="Arial"/>
          <w:sz w:val="16"/>
          <w:szCs w:val="16"/>
          <w:b w:val="1"/>
          <w:bCs w:val="1"/>
          <w:color w:val="auto"/>
        </w:rPr>
        <w:t>Designated Underwriter Entities</w:t>
      </w:r>
      <w:r>
        <w:rPr>
          <w:rFonts w:ascii="Arial" w:cs="Arial" w:eastAsia="Arial" w:hAnsi="Arial"/>
          <w:sz w:val="16"/>
          <w:szCs w:val="16"/>
          <w:color w:val="auto"/>
        </w:rPr>
        <w:t>”) from and against any and all losses, claims, damages and liabilities (including, without limitation, any legal or other expenses reasonably incurred in connection with defending or investigating any such action or claim)</w:t>
      </w:r>
    </w:p>
    <w:p>
      <w:pPr>
        <w:spacing w:after="0" w:line="1" w:lineRule="exact"/>
        <w:rPr>
          <w:rFonts w:ascii="Arial" w:cs="Arial" w:eastAsia="Arial" w:hAnsi="Arial"/>
          <w:sz w:val="16"/>
          <w:szCs w:val="16"/>
          <w:color w:val="auto"/>
        </w:rPr>
      </w:pPr>
    </w:p>
    <w:p>
      <w:pPr>
        <w:ind w:left="-8" w:firstLine="8"/>
        <w:spacing w:after="0" w:line="252" w:lineRule="auto"/>
        <w:tabs>
          <w:tab w:leader="none" w:pos="20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caused by any untrue statement or alleged untrue statement of a material fact contained in any material prepared by or with the consent of the Company for distribution to Participants in connection with the Directed Share Program or caused by any omission or alleged omission to state therein a material fact required to be stated therein or necessary to make the statements therein not misleading; (ii) caused by the failure of any Participant to pay for and accept delivery of Directed American Depositary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the Designated Underwriter Entities.</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92"/>
          </w:cols>
          <w:pgMar w:left="248" w:top="274" w:right="259" w:bottom="1440" w:gutter="0" w:footer="0" w:header="0"/>
        </w:sectPr>
      </w:pPr>
    </w:p>
    <w:bookmarkStart w:id="304" w:name="page305"/>
    <w:bookmarkEnd w:id="304"/>
    <w:p>
      <w:pPr>
        <w:ind w:left="-20" w:firstLine="464"/>
        <w:spacing w:after="0" w:line="267" w:lineRule="auto"/>
        <w:tabs>
          <w:tab w:leader="none" w:pos="691" w:val="left"/>
        </w:tabs>
        <w:numPr>
          <w:ilvl w:val="0"/>
          <w:numId w:val="2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any proceeding (including any governmental investigation) shall be instituted involving any Designated Underwriter Entity in respect of which indemnity may be sought pursuant to Section 10(a), the Designated Underwriter Entity seeking indemnity shall promptly notify the Company in writing and the Company, upon request of the Designated Underwriter Entity, shall retain counsel reasonably satisfactory to the Designated Underwriter Entity to represent the Designated Underwriter Entity and any others the Company may designate in such proceeding and shall pay the fees and disbursements of such counsel related to such proceeding. In any such proceeding, any Designated Underwriter Entity shall have the right to retain its own counsel, but the fees and expenses of such counsel shall be at the expense of such Designated Underwriter Entity unless (i) the Company shall have agreed to the retention of such counsel or (ii) the named parties to any such proceeding (including any impleaded parties) include both the Company and the Designated Underwriter Entity and representation of both parties by the same counsel would be inappropriate due to actual or potential differing interests between them. The Company shall not, in respect of the legal expenses of the Designated Underwriter Entities in connection with any proceeding or related proceedings in the same jurisdiction, be liable for the fees and expenses of more than one separate firm (in addition to any local counsel) for all Designated Underwriter Entities. Any such separate firm for the Designated Underwriter Entities shall be designated in writing by Designated Underwriter. The Company shall not be liable for any settlement of any proceeding effected without its written consent, but if settled with such consent or if there be a final judgment for the plaintiff, the Company agrees to indemnify the Designated Underwriter Entities from and against any loss or liability by reason of such settlement or judgment. Notwithstanding the foregoing sentence, if at any time a Designated Underwriter Entity shall have requested the Company to reimburse it for fees and expenses of counsel as contemplated by the second and third sentences of this paragraph, the Company agrees that it shall be liable for any settlement of any proceeding effected without its written consent if (i) such settlement is entered into more than 30 days after receipt by the Company of the aforesaid request and (ii) the Company shall not have reimbursed the Designated Underwriter Entity in accordance with such request prior to the date of such settlement. The Company shall not, without the prior written consent of Designated Underwriter, effect any settlement of any pending or threatened proceeding in respect of which any Designated Underwriter Entity is or could have been a party and indemnity could have been sought hereunder by such Designated Underwriter Entity, unless such settlement includes an unconditional release of the Designated Underwriter Entities from all liability on claims that are the subject matter of such proceeding.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60" w:top="273" w:right="259" w:bottom="1440" w:gutter="0" w:footer="0" w:header="0"/>
        </w:sectPr>
      </w:pPr>
    </w:p>
    <w:bookmarkStart w:id="305" w:name="page306"/>
    <w:bookmarkEnd w:id="305"/>
    <w:p>
      <w:pPr>
        <w:ind w:left="-20" w:right="40" w:firstLine="464"/>
        <w:spacing w:after="0" w:line="285" w:lineRule="auto"/>
        <w:tabs>
          <w:tab w:leader="none" w:pos="681" w:val="left"/>
        </w:tabs>
        <w:numPr>
          <w:ilvl w:val="0"/>
          <w:numId w:val="2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the indemnification provided for in Section 10(a) is unavailable to a Designated Underwriter Entity or insufficient in respect of any losses, claims, damages or liabilities referred to therein, then the Company in lieu of indemnifying the Designated Underwriter Entity thereunder shall contribute to the amount paid or payable by the Designated Underwriter Entity as a result of such losses, claims, damages or liabilities (i) in such proportion as is appropriate to reflect the relative benefits received by the Company on the one hand and the Designated Underwriter Entities on the other hand from the offering of the Directed American Depositary Shares or (ii) if the allocation provided by clause 10(c)(i) above is not permitted by applicable law, in such proportion as is appropriate to reflect not only the relative benefits referred to in clause 10(c)(i) above but also the relative fault of the Company on the one hand and of the Designated Underwriter Entities on the other hand in connection with any statements or omissions that resulted in such losses, claims, damages or liabilities, as well as any other relevant equitable considerations. The relative benefits received by the Company on the one hand and the Designated Underwriter Entities on the other hand in connection with the offering of the Directed American Depositary Shares shall be deemed to be in the same respective proportions as the net proceeds from the offering of the Directed American Depositary Shares (before deducting expenses) and the total underwriting discounts and commissions received by the Designated Underwriter Entities for the Directed American Depositary Shares bear to the aggregate Public Offering Price of the Directed American Depositary Shares. If the loss, claim, damage or liability is caused by an untrue or alleged untrue statement of a material fact or the omission or alleged omission to state a material fact, the relative fault of the Company on the one hand and the Designated Underwriter Entities on the other hand shall be determined by reference to, among other things, whether the untrue or alleged untrue statement or the omission or alleged omission relates to information supplied by the Company or by the Designated Underwriter Entities and the parties’ relative intent, knowledge, access to information and opportunity to correct or prevent such statement or omission.</w:t>
      </w:r>
    </w:p>
    <w:p>
      <w:pPr>
        <w:spacing w:after="0" w:line="177" w:lineRule="exact"/>
        <w:rPr>
          <w:rFonts w:ascii="Arial" w:cs="Arial" w:eastAsia="Arial" w:hAnsi="Arial"/>
          <w:sz w:val="16"/>
          <w:szCs w:val="16"/>
          <w:color w:val="auto"/>
        </w:rPr>
      </w:pPr>
    </w:p>
    <w:p>
      <w:pPr>
        <w:ind w:left="-20" w:firstLine="464"/>
        <w:spacing w:after="0" w:line="289" w:lineRule="auto"/>
        <w:tabs>
          <w:tab w:leader="none" w:pos="69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The Company and the Designated Underwriter Entities agree that it would not be just or equitable if contribution pursuant to this Section 10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Designated Underwriter Entities were treated as one entity for such purpose) or by any other method of allocation that does not take account of the equitable considerations referred to in Section 10(c). The amount paid or payable by the Designated Underwriter Entities as a result of the losses, claims, damages and liabilities referred to in the immediately preceding paragraph shall be deemed to include, subject to the limitations set forth above, any legal or other expenses reasonably incurred by the Designated Underwriter Entities in connection with investigating or defending any such action or claim. Notwithstanding the provisions of this Section 10, no Designated Underwriter Entity shall be required to contribute any amount in excess of the amount by which the total price at which the Directed American Depositary Shares distributed to the public were offered to the public exceeds the amount of any damages that such Designated Underwriter Entity has otherwise been required to pay. The remedies provided for in this Section 10 are not exclusive and shall not limit any rights or remedies which may otherwise be available to any indemnified party at law or in equity.</w:t>
      </w:r>
    </w:p>
    <w:p>
      <w:pPr>
        <w:spacing w:after="0" w:line="166" w:lineRule="exact"/>
        <w:rPr>
          <w:rFonts w:ascii="Arial" w:cs="Arial" w:eastAsia="Arial" w:hAnsi="Arial"/>
          <w:sz w:val="16"/>
          <w:szCs w:val="16"/>
          <w:color w:val="auto"/>
        </w:rPr>
      </w:pPr>
    </w:p>
    <w:p>
      <w:pPr>
        <w:ind w:left="-20" w:right="180" w:firstLine="464"/>
        <w:spacing w:after="0" w:line="286" w:lineRule="auto"/>
        <w:tabs>
          <w:tab w:leader="none" w:pos="681"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10 shall remain operative and in full force and effect regardless of (i) any termination of this Agreement, (ii) any investigation made by or on behalf of any Designated Underwriter Entity or the Company, its officers or directors or any person controlling the Company and (iii) acceptance of and payment for any of the Directed American Depositary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60" w:top="273" w:right="259" w:bottom="1440" w:gutter="0" w:footer="0" w:header="0"/>
        </w:sectPr>
      </w:pPr>
    </w:p>
    <w:bookmarkStart w:id="306" w:name="page307"/>
    <w:bookmarkEnd w:id="306"/>
    <w:p>
      <w:pPr>
        <w:ind w:firstLine="464"/>
        <w:spacing w:after="0" w:line="288" w:lineRule="auto"/>
        <w:tabs>
          <w:tab w:leader="none" w:pos="720" w:val="left"/>
        </w:tabs>
        <w:numPr>
          <w:ilvl w:val="0"/>
          <w:numId w:val="27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w:t>
      </w:r>
      <w:r>
        <w:rPr>
          <w:rFonts w:ascii="Arial" w:cs="Arial" w:eastAsia="Arial" w:hAnsi="Arial"/>
          <w:sz w:val="16"/>
          <w:szCs w:val="16"/>
          <w:color w:val="auto"/>
        </w:rPr>
        <w:t>The Underwriters may terminate this Agreement by notice given by the Representatives to the Company, if after the execution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NASDAQ Global Select Market, the Chicago Board of Options Exchange, the Chicago Mercantile Exchange or the Chicago Board of Trade, The Hong Kong Stock Exchange or other relevant exchanges, (ii) trading of any securities of the Company shall have been suspended on any exchange or in any over-the-counter market, (iii) a material disruption in securities settlement, payment or clearance services in the United States, the PRC or the Cayman Islands shall have occurred, (iv) any moratorium on commercial banking activities shall have been declared by United States Federal, New York State, PRC or Cayman Islands authorities or (v) there shall have occurred any outbreak or escalation of hostilities, or any change in financial markets, currency exchange rates or controls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Shares on the terms and in the manner contemplated in the Time of Sale Prospectus or the Prospectus.</w:t>
      </w:r>
    </w:p>
    <w:p>
      <w:pPr>
        <w:spacing w:after="0" w:line="165" w:lineRule="exact"/>
        <w:rPr>
          <w:rFonts w:ascii="Arial" w:cs="Arial" w:eastAsia="Arial" w:hAnsi="Arial"/>
          <w:sz w:val="16"/>
          <w:szCs w:val="16"/>
          <w:color w:val="auto"/>
        </w:rPr>
      </w:pPr>
    </w:p>
    <w:p>
      <w:pPr>
        <w:ind w:left="740" w:hanging="276"/>
        <w:spacing w:after="0"/>
        <w:tabs>
          <w:tab w:leader="none" w:pos="740" w:val="left"/>
        </w:tabs>
        <w:numPr>
          <w:ilvl w:val="0"/>
          <w:numId w:val="272"/>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Defaulting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become effective upon the execution and delivery hereof by the parties hereto.</w:t>
      </w:r>
    </w:p>
    <w:p>
      <w:pPr>
        <w:spacing w:after="0" w:line="25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12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07" w:name="page308"/>
    <w:bookmarkEnd w:id="307"/>
    <w:p>
      <w:pPr>
        <w:ind w:right="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8" w:lineRule="exact"/>
        <w:rPr>
          <w:sz w:val="20"/>
          <w:szCs w:val="20"/>
          <w:color w:val="auto"/>
        </w:rPr>
      </w:pPr>
    </w:p>
    <w:p>
      <w:pPr>
        <w:ind w:right="20" w:firstLine="464"/>
        <w:spacing w:after="0" w:line="286" w:lineRule="auto"/>
        <w:tabs>
          <w:tab w:leader="none" w:pos="726" w:val="left"/>
        </w:tabs>
        <w:numPr>
          <w:ilvl w:val="0"/>
          <w:numId w:val="2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Submission to Jurisdiction; Appointment of Agent for Service. </w:t>
      </w:r>
      <w:r>
        <w:rPr>
          <w:rFonts w:ascii="Arial" w:cs="Arial" w:eastAsia="Arial" w:hAnsi="Arial"/>
          <w:sz w:val="16"/>
          <w:szCs w:val="16"/>
          <w:color w:val="auto"/>
        </w:rPr>
        <w:t>The Company hereby irrevocably submits to the non-exclusive jurisdiction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federal and state courts in the Borough of Manhattan in The City of New York (each, a “</w:t>
      </w:r>
      <w:r>
        <w:rPr>
          <w:rFonts w:ascii="Arial" w:cs="Arial" w:eastAsia="Arial" w:hAnsi="Arial"/>
          <w:sz w:val="16"/>
          <w:szCs w:val="16"/>
          <w:b w:val="1"/>
          <w:bCs w:val="1"/>
          <w:color w:val="auto"/>
        </w:rPr>
        <w:t>New York Court</w:t>
      </w:r>
      <w:r>
        <w:rPr>
          <w:rFonts w:ascii="Arial" w:cs="Arial" w:eastAsia="Arial" w:hAnsi="Arial"/>
          <w:sz w:val="16"/>
          <w:szCs w:val="16"/>
          <w:color w:val="auto"/>
        </w:rPr>
        <w:t>”) in any suit or proceeding arising out of or relating to this Agreement, the Deposit Agreement, the Time of Sale Prospectus, the Prospectus, the Registration Statement, the ADS Registration Statement, the offering of the American Depositary Shares or any transactions contemplated hereby. The Company and each of the Company’s Subsidiaries and Affiliated Entities irrevocably and unconditionally waives any objection to the laying of venue of any suit or proceeding arising out of or relating to this Agreement, the Deposit Agreement, the Time of Sale Prospectus, the Prospectus, the Registration Statement, the ADS Registration Statement, the offering of the American Depositary Shares or any transactions contemplated hereby in the New York Courts, and irrevocably and unconditionally waives and agrees not to plead or claim in any such court that any such suit or proceeding in any such court has been brought in an inconvenient forum. The Company irrevocably appoints Law Debenture Corporate Services Inc. as its respective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in the Borough of Manhattan in The City of New York upon which process may be served in any such suit or proceeding, and agree that service of process in any manner permitted by applicable law upon such agent shall be deemed in every respect effective service of process in any manner permitted by applicable law upon the Company in any such suit or proceeding. The Company further agrees to take any and all action as may be necessary to maintain such designation and appointment of such agent in full force and effect for a period of seven years from the date of this Agreement.</w:t>
      </w:r>
    </w:p>
    <w:p>
      <w:pPr>
        <w:spacing w:after="0" w:line="170" w:lineRule="exact"/>
        <w:rPr>
          <w:rFonts w:ascii="Arial" w:cs="Arial" w:eastAsia="Arial" w:hAnsi="Arial"/>
          <w:sz w:val="16"/>
          <w:szCs w:val="16"/>
          <w:color w:val="auto"/>
        </w:rPr>
      </w:pPr>
    </w:p>
    <w:p>
      <w:pPr>
        <w:ind w:firstLine="464"/>
        <w:spacing w:after="0" w:line="269" w:lineRule="auto"/>
        <w:tabs>
          <w:tab w:leader="none" w:pos="726" w:val="left"/>
        </w:tabs>
        <w:numPr>
          <w:ilvl w:val="0"/>
          <w:numId w:val="273"/>
        </w:numPr>
        <w:rPr>
          <w:rFonts w:ascii="Arial" w:cs="Arial" w:eastAsia="Arial" w:hAnsi="Arial"/>
          <w:sz w:val="17"/>
          <w:szCs w:val="17"/>
          <w:color w:val="auto"/>
        </w:rPr>
      </w:pPr>
      <w:r>
        <w:rPr>
          <w:rFonts w:ascii="Arial" w:cs="Arial" w:eastAsia="Arial" w:hAnsi="Arial"/>
          <w:sz w:val="17"/>
          <w:szCs w:val="17"/>
          <w:b w:val="1"/>
          <w:bCs w:val="1"/>
          <w:i w:val="1"/>
          <w:iCs w:val="1"/>
          <w:color w:val="auto"/>
        </w:rPr>
        <w:t>Judgment Currency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for the purposes of obtaining judgment in any court it is necessary to convert a sum due hereunder into any currency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pursuant to this Agreement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308" w:name="page309"/>
    <w:bookmarkEnd w:id="308"/>
    <w:p>
      <w:pPr>
        <w:jc w:val="both"/>
        <w:ind w:right="280" w:firstLine="464"/>
        <w:spacing w:after="0" w:line="303" w:lineRule="auto"/>
        <w:tabs>
          <w:tab w:leader="none" w:pos="726" w:val="left"/>
        </w:tabs>
        <w:numPr>
          <w:ilvl w:val="0"/>
          <w:numId w:val="27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together with any contemporaneous written agreements and any prior written agreements (to the extent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superseded by this Agreement) that relate to the sale and purchase of the Shares and the offering of the American Depositary Shares, represents the entire agreement between the Company and the Underwriters with respect to the preparation of any preliminary prospectus, the Time of Sale Prospectus, the Prospectus, the conduct of the offering, and the purchase and sale of the Shares and the offering of the American Depositary Shares.</w:t>
      </w:r>
    </w:p>
    <w:p>
      <w:pPr>
        <w:spacing w:after="0" w:line="151" w:lineRule="exact"/>
        <w:rPr>
          <w:rFonts w:ascii="Arial" w:cs="Arial" w:eastAsia="Arial" w:hAnsi="Arial"/>
          <w:sz w:val="16"/>
          <w:szCs w:val="16"/>
          <w:color w:val="auto"/>
        </w:rPr>
      </w:pPr>
    </w:p>
    <w:p>
      <w:pPr>
        <w:ind w:right="600" w:firstLine="464"/>
        <w:spacing w:after="0" w:line="282" w:lineRule="auto"/>
        <w:tabs>
          <w:tab w:leader="none" w:pos="726" w:val="left"/>
        </w:tabs>
        <w:numPr>
          <w:ilvl w:val="0"/>
          <w:numId w:val="274"/>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be signed in two or more counterparts, each of which shall be an original, with the same effect as if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signatures thereto and hereto were upon the same instrument.</w:t>
      </w:r>
    </w:p>
    <w:p>
      <w:pPr>
        <w:spacing w:after="0" w:line="161" w:lineRule="exact"/>
        <w:rPr>
          <w:rFonts w:ascii="Arial" w:cs="Arial" w:eastAsia="Arial" w:hAnsi="Arial"/>
          <w:sz w:val="18"/>
          <w:szCs w:val="18"/>
          <w:color w:val="auto"/>
        </w:rPr>
      </w:pPr>
    </w:p>
    <w:p>
      <w:pPr>
        <w:ind w:left="740" w:hanging="276"/>
        <w:spacing w:after="0"/>
        <w:tabs>
          <w:tab w:leader="none" w:pos="740" w:val="left"/>
        </w:tabs>
        <w:numPr>
          <w:ilvl w:val="0"/>
          <w:numId w:val="274"/>
        </w:numPr>
        <w:rPr>
          <w:rFonts w:ascii="Arial" w:cs="Arial" w:eastAsia="Arial" w:hAnsi="Arial"/>
          <w:sz w:val="18"/>
          <w:szCs w:val="18"/>
          <w:color w:val="auto"/>
        </w:rPr>
      </w:pPr>
      <w:r>
        <w:rPr>
          <w:rFonts w:ascii="Arial" w:cs="Arial" w:eastAsia="Arial" w:hAnsi="Arial"/>
          <w:sz w:val="18"/>
          <w:szCs w:val="18"/>
          <w:b w:val="1"/>
          <w:bCs w:val="1"/>
          <w:i w:val="1"/>
          <w:iCs w:val="1"/>
          <w:color w:val="auto"/>
        </w:rPr>
        <w:t>Applicable Law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internal laws of the State of New York.</w:t>
      </w:r>
    </w:p>
    <w:p>
      <w:pPr>
        <w:spacing w:after="0" w:line="225" w:lineRule="exact"/>
        <w:rPr>
          <w:rFonts w:ascii="Arial" w:cs="Arial" w:eastAsia="Arial" w:hAnsi="Arial"/>
          <w:sz w:val="18"/>
          <w:szCs w:val="18"/>
          <w:color w:val="auto"/>
        </w:rPr>
      </w:pPr>
    </w:p>
    <w:p>
      <w:pPr>
        <w:ind w:right="160" w:firstLine="464"/>
        <w:spacing w:after="0" w:line="282" w:lineRule="auto"/>
        <w:tabs>
          <w:tab w:leader="none" w:pos="726" w:val="left"/>
        </w:tabs>
        <w:numPr>
          <w:ilvl w:val="0"/>
          <w:numId w:val="274"/>
        </w:numPr>
        <w:rPr>
          <w:rFonts w:ascii="Arial" w:cs="Arial" w:eastAsia="Arial" w:hAnsi="Arial"/>
          <w:sz w:val="18"/>
          <w:szCs w:val="18"/>
          <w:color w:val="auto"/>
        </w:rPr>
      </w:pPr>
      <w:r>
        <w:rPr>
          <w:rFonts w:ascii="Arial" w:cs="Arial" w:eastAsia="Arial" w:hAnsi="Arial"/>
          <w:sz w:val="18"/>
          <w:szCs w:val="18"/>
          <w:b w:val="1"/>
          <w:bCs w:val="1"/>
          <w:i w:val="1"/>
          <w:iCs w:val="1"/>
          <w:color w:val="auto"/>
        </w:rPr>
        <w:t>Headings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headings of the sections of this Agreement have been inserted for convenience of reference only and shall not be deemed a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w:t>
      </w:r>
    </w:p>
    <w:p>
      <w:pPr>
        <w:spacing w:after="0" w:line="165" w:lineRule="exact"/>
        <w:rPr>
          <w:rFonts w:ascii="Arial" w:cs="Arial" w:eastAsia="Arial" w:hAnsi="Arial"/>
          <w:sz w:val="18"/>
          <w:szCs w:val="18"/>
          <w:color w:val="auto"/>
        </w:rPr>
      </w:pPr>
    </w:p>
    <w:p>
      <w:pPr>
        <w:ind w:right="160" w:firstLine="464"/>
        <w:spacing w:after="0" w:line="277" w:lineRule="auto"/>
        <w:tabs>
          <w:tab w:leader="none" w:pos="726" w:val="left"/>
        </w:tabs>
        <w:numPr>
          <w:ilvl w:val="0"/>
          <w:numId w:val="2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All communications hereunder shall be in writing and effective only upon receipt and if to the Underwriters shall be delivered, mailed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sent to the Representatives at: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Morgan Stanley &amp; Co. International plc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Morgan Stanley Asia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46/F, International Commerce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Austin Road West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Kowloon, Hong Kong;</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10010-3629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States;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Equity Syndicate Desk;</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China Renaissance Securities (Hong Kong)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 901, Agricultural Bank of China Tower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 Connaught Road Central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Central, Hong Kong;</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to the Company shall be delivered, mailed or sent to Momo Inc., 20th Floor, Block B Tower 2, Wangjing SOHO No.1 Futongdong Street Chaoyang District, Beijing 100102, People’s Republic of China, Attention: General Counsel;</w:t>
      </w:r>
    </w:p>
    <w:p>
      <w:pPr>
        <w:spacing w:after="0" w:line="166" w:lineRule="exact"/>
        <w:rPr>
          <w:sz w:val="20"/>
          <w:szCs w:val="20"/>
          <w:color w:val="auto"/>
        </w:rPr>
      </w:pPr>
    </w:p>
    <w:p>
      <w:pPr>
        <w:ind w:firstLine="464"/>
        <w:spacing w:after="0" w:line="281" w:lineRule="auto"/>
        <w:tabs>
          <w:tab w:leader="none" w:pos="726" w:val="left"/>
        </w:tabs>
        <w:numPr>
          <w:ilvl w:val="0"/>
          <w:numId w:val="275"/>
        </w:numPr>
        <w:rPr>
          <w:rFonts w:ascii="Arial" w:cs="Arial" w:eastAsia="Arial" w:hAnsi="Arial"/>
          <w:sz w:val="17"/>
          <w:szCs w:val="17"/>
          <w:color w:val="auto"/>
        </w:rPr>
      </w:pPr>
      <w:r>
        <w:rPr>
          <w:rFonts w:ascii="Arial" w:cs="Arial" w:eastAsia="Arial" w:hAnsi="Arial"/>
          <w:sz w:val="17"/>
          <w:szCs w:val="17"/>
          <w:b w:val="1"/>
          <w:bCs w:val="1"/>
          <w:i w:val="1"/>
          <w:iCs w:val="1"/>
          <w:color w:val="auto"/>
        </w:rPr>
        <w:t>Parties at Interest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Agreement set forth has been and is made solely for the benefit of the Underwriters, the Company and to the extent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in Section 9 hereof the controlling persons, partners, directors and officers referred to in such sections and their respective successors, assigns, heirs, personal representatives and executors and administrators. No other person, partnership, association or corporation (including a purchaser, as such purchaser, from any of the Underwriters) shall acquire or have any rights under or by virtue of this Agreement.</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0" w:right="279" w:bottom="1440" w:gutter="0" w:footer="0" w:header="0"/>
        </w:sectPr>
      </w:pPr>
    </w:p>
    <w:bookmarkStart w:id="309" w:name="page310"/>
    <w:bookmarkEnd w:id="309"/>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 </w:t>
      </w:r>
      <w:r>
        <w:rPr>
          <w:rFonts w:ascii="Arial" w:cs="Arial" w:eastAsia="Arial" w:hAnsi="Arial"/>
          <w:sz w:val="18"/>
          <w:szCs w:val="18"/>
          <w:b w:val="1"/>
          <w:bCs w:val="1"/>
          <w:i w:val="1"/>
          <w:iCs w:val="1"/>
          <w:color w:val="auto"/>
        </w:rPr>
        <w:t>Absence of Fiduciary Relationship.</w:t>
      </w:r>
      <w:r>
        <w:rPr>
          <w:rFonts w:ascii="Arial" w:cs="Arial" w:eastAsia="Arial" w:hAnsi="Arial"/>
          <w:sz w:val="18"/>
          <w:szCs w:val="18"/>
          <w:color w:val="auto"/>
        </w:rPr>
        <w:t xml:space="preserve"> The Company acknowledges and agrees to each of the following:</w:t>
      </w:r>
    </w:p>
    <w:p>
      <w:pPr>
        <w:spacing w:after="0" w:line="225" w:lineRule="exact"/>
        <w:rPr>
          <w:sz w:val="20"/>
          <w:szCs w:val="20"/>
          <w:color w:val="auto"/>
        </w:rPr>
      </w:pPr>
    </w:p>
    <w:p>
      <w:pPr>
        <w:ind w:left="-40" w:right="100" w:firstLine="464"/>
        <w:spacing w:after="0" w:line="259" w:lineRule="auto"/>
        <w:tabs>
          <w:tab w:leader="none" w:pos="661"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 xml:space="preserve">No Other Relationship. </w:t>
      </w:r>
      <w:r>
        <w:rPr>
          <w:rFonts w:ascii="Arial" w:cs="Arial" w:eastAsia="Arial" w:hAnsi="Arial"/>
          <w:sz w:val="18"/>
          <w:szCs w:val="18"/>
          <w:color w:val="auto"/>
        </w:rPr>
        <w:t>Each of the Representatives has been retained solely to act as an underwriter in connection with the sale of the Shares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that no fiduciary, advisory or agency relationship between the Company and any of the Representatives has been created in respect of any of the transactions contemplated by this Agreement or the Prospectus, irrespective of whether any of the Representatives have advised or are advising the Company on other matters.</w:t>
      </w:r>
    </w:p>
    <w:p>
      <w:pPr>
        <w:spacing w:after="0" w:line="186" w:lineRule="exact"/>
        <w:rPr>
          <w:rFonts w:ascii="Arial" w:cs="Arial" w:eastAsia="Arial" w:hAnsi="Arial"/>
          <w:sz w:val="18"/>
          <w:szCs w:val="18"/>
          <w:color w:val="auto"/>
        </w:rPr>
      </w:pPr>
    </w:p>
    <w:p>
      <w:pPr>
        <w:jc w:val="both"/>
        <w:ind w:left="-40" w:right="200" w:firstLine="464"/>
        <w:spacing w:after="0" w:line="264" w:lineRule="auto"/>
        <w:tabs>
          <w:tab w:leader="none" w:pos="671"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 xml:space="preserve">Arms’ Length Negotiations. </w:t>
      </w:r>
      <w:r>
        <w:rPr>
          <w:rFonts w:ascii="Arial" w:cs="Arial" w:eastAsia="Arial" w:hAnsi="Arial"/>
          <w:sz w:val="18"/>
          <w:szCs w:val="18"/>
          <w:color w:val="auto"/>
        </w:rPr>
        <w:t>The price of the Shares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181" w:lineRule="exact"/>
        <w:rPr>
          <w:rFonts w:ascii="Arial" w:cs="Arial" w:eastAsia="Arial" w:hAnsi="Arial"/>
          <w:sz w:val="18"/>
          <w:szCs w:val="18"/>
          <w:color w:val="auto"/>
        </w:rPr>
      </w:pPr>
    </w:p>
    <w:p>
      <w:pPr>
        <w:ind w:left="-40" w:right="20" w:firstLine="464"/>
        <w:spacing w:after="0" w:line="286" w:lineRule="auto"/>
        <w:tabs>
          <w:tab w:leader="none" w:pos="661" w:val="left"/>
        </w:tabs>
        <w:numPr>
          <w:ilvl w:val="0"/>
          <w:numId w:val="276"/>
        </w:numPr>
        <w:rPr>
          <w:rFonts w:ascii="Arial" w:cs="Arial" w:eastAsia="Arial" w:hAnsi="Arial"/>
          <w:sz w:val="17"/>
          <w:szCs w:val="17"/>
          <w:color w:val="auto"/>
        </w:rPr>
      </w:pPr>
      <w:r>
        <w:rPr>
          <w:rFonts w:ascii="Arial" w:cs="Arial" w:eastAsia="Arial" w:hAnsi="Arial"/>
          <w:sz w:val="17"/>
          <w:szCs w:val="17"/>
          <w:i w:val="1"/>
          <w:iCs w:val="1"/>
          <w:color w:val="auto"/>
        </w:rPr>
        <w:t xml:space="preserve">Absence of Obligation to Disclose. </w:t>
      </w:r>
      <w:r>
        <w:rPr>
          <w:rFonts w:ascii="Arial" w:cs="Arial" w:eastAsia="Arial" w:hAnsi="Arial"/>
          <w:sz w:val="17"/>
          <w:szCs w:val="17"/>
          <w:color w:val="auto"/>
        </w:rPr>
        <w:t>The Company has been advised that the each of the Representatives and their respective affiliates are engaged in</w:t>
      </w:r>
      <w:r>
        <w:rPr>
          <w:rFonts w:ascii="Arial" w:cs="Arial" w:eastAsia="Arial" w:hAnsi="Arial"/>
          <w:sz w:val="17"/>
          <w:szCs w:val="17"/>
          <w:i w:val="1"/>
          <w:iCs w:val="1"/>
          <w:color w:val="auto"/>
        </w:rPr>
        <w:t xml:space="preserve"> </w:t>
      </w:r>
      <w:r>
        <w:rPr>
          <w:rFonts w:ascii="Arial" w:cs="Arial" w:eastAsia="Arial" w:hAnsi="Arial"/>
          <w:sz w:val="17"/>
          <w:szCs w:val="17"/>
          <w:color w:val="auto"/>
        </w:rPr>
        <w:t>a broad range of transactions which may involve interests that differ from those of the Company and that each of the Representatives has no obligation to disclose such interests and transactions to the Company by virtue of any fiduciary, advisory or agency relationship.</w:t>
      </w:r>
    </w:p>
    <w:p>
      <w:pPr>
        <w:spacing w:after="0" w:line="165" w:lineRule="exact"/>
        <w:rPr>
          <w:rFonts w:ascii="Arial" w:cs="Arial" w:eastAsia="Arial" w:hAnsi="Arial"/>
          <w:sz w:val="17"/>
          <w:szCs w:val="17"/>
          <w:color w:val="auto"/>
        </w:rPr>
      </w:pPr>
    </w:p>
    <w:p>
      <w:pPr>
        <w:ind w:left="-40" w:right="220" w:firstLine="464"/>
        <w:spacing w:after="0" w:line="259" w:lineRule="auto"/>
        <w:tabs>
          <w:tab w:leader="none" w:pos="671"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The Company waives, to the fullest extent permitted by law, any claims it may have against the each of the Representatives for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duty or alleged breach of fiduciary duty and agrees that none of the Representatives shall have any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183" w:lineRule="exact"/>
        <w:rPr>
          <w:sz w:val="20"/>
          <w:szCs w:val="20"/>
          <w:color w:val="auto"/>
        </w:rPr>
      </w:pPr>
    </w:p>
    <w:p>
      <w:pPr>
        <w:ind w:left="-40" w:right="20" w:firstLine="464"/>
        <w:spacing w:after="0" w:line="271" w:lineRule="auto"/>
        <w:tabs>
          <w:tab w:leader="none" w:pos="686" w:val="left"/>
        </w:tabs>
        <w:numPr>
          <w:ilvl w:val="0"/>
          <w:numId w:val="277"/>
        </w:numPr>
        <w:rPr>
          <w:rFonts w:ascii="Arial" w:cs="Arial" w:eastAsia="Arial" w:hAnsi="Arial"/>
          <w:sz w:val="17"/>
          <w:szCs w:val="17"/>
          <w:color w:val="auto"/>
        </w:rPr>
      </w:pPr>
      <w:r>
        <w:rPr>
          <w:rFonts w:ascii="Arial" w:cs="Arial" w:eastAsia="Arial" w:hAnsi="Arial"/>
          <w:sz w:val="17"/>
          <w:szCs w:val="17"/>
          <w:b w:val="1"/>
          <w:bCs w:val="1"/>
          <w:i w:val="1"/>
          <w:iCs w:val="1"/>
          <w:color w:val="auto"/>
        </w:rPr>
        <w:t>Successors and Assigns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shall be binding upon the Underwriters, the Company and their successors and assigns and any successor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assign of any substantial portion of the Company’s and any of the Underwriters’ respective businesses and/or assets.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9(b) of this Agreement shall be deemed to be for the benefit of its directors, its officers who have signed the Registration Statement and any person controlling the Company within the meaning of Section 15 of the Securities Act. Nothing in this Agreement is intended or shall be construed to give any person, other than the persons referred to in this Section 22, any legal or equitable right, remedy or claim under or in respect of this Agreement or any provision contained herein.</w:t>
      </w:r>
    </w:p>
    <w:p>
      <w:pPr>
        <w:spacing w:after="0" w:line="178" w:lineRule="exact"/>
        <w:rPr>
          <w:rFonts w:ascii="Arial" w:cs="Arial" w:eastAsia="Arial" w:hAnsi="Arial"/>
          <w:sz w:val="17"/>
          <w:szCs w:val="17"/>
          <w:color w:val="auto"/>
        </w:rPr>
      </w:pPr>
    </w:p>
    <w:p>
      <w:pPr>
        <w:jc w:val="both"/>
        <w:ind w:left="-40" w:firstLine="464"/>
        <w:spacing w:after="0" w:line="259" w:lineRule="auto"/>
        <w:tabs>
          <w:tab w:leader="none" w:pos="686"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Partial Unenforceability</w:t>
      </w:r>
      <w:r>
        <w:rPr>
          <w:rFonts w:ascii="Arial" w:cs="Arial" w:eastAsia="Arial" w:hAnsi="Arial"/>
          <w:sz w:val="18"/>
          <w:szCs w:val="18"/>
          <w:color w:val="auto"/>
        </w:rPr>
        <w:t>. The invalidity or unenforceability of any section, subsection, paragraph or provision of this Agreement shall not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validity or enforceability of any other section, subsection, paragraph or provision hereof. If any section, subsection, paragraph or provision of this Agreement is for any reason determined to be invalid or unenforceable, there shall be deemed to be made such minor changes (and only such minor changes) as are necessary to make it valid and enforceable.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80" w:top="273" w:right="279" w:bottom="1440" w:gutter="0" w:footer="0" w:header="0"/>
        </w:sectPr>
      </w:pPr>
    </w:p>
    <w:bookmarkStart w:id="310" w:name="page311"/>
    <w:bookmarkEnd w:id="310"/>
    <w:p>
      <w:pPr>
        <w:ind w:left="-120" w:firstLine="464"/>
        <w:spacing w:after="0" w:line="277" w:lineRule="auto"/>
        <w:tabs>
          <w:tab w:leader="none" w:pos="606"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r>
        <w:rPr>
          <w:rFonts w:ascii="Arial" w:cs="Arial" w:eastAsia="Arial" w:hAnsi="Arial"/>
          <w:sz w:val="18"/>
          <w:szCs w:val="18"/>
          <w:color w:val="auto"/>
        </w:rPr>
        <w:t>. This Agreement may only be amended or modified in writing, signed by all of the parties hereto, and no condition herein (express or</w:t>
      </w:r>
      <w:r>
        <w:rPr>
          <w:rFonts w:ascii="Arial" w:cs="Arial" w:eastAsia="Arial" w:hAnsi="Arial"/>
          <w:sz w:val="18"/>
          <w:szCs w:val="18"/>
          <w:i w:val="1"/>
          <w:iCs w:val="1"/>
          <w:color w:val="auto"/>
        </w:rPr>
        <w:t xml:space="preserve"> </w:t>
      </w:r>
      <w:r>
        <w:rPr>
          <w:rFonts w:ascii="Arial" w:cs="Arial" w:eastAsia="Arial" w:hAnsi="Arial"/>
          <w:sz w:val="18"/>
          <w:szCs w:val="18"/>
          <w:color w:val="auto"/>
        </w:rPr>
        <w:t>implied) may be waived unless waived in writing by each party whom the condition is meant to benefit.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60" w:top="273" w:right="359" w:bottom="1440" w:gutter="0" w:footer="0" w:header="0"/>
        </w:sectPr>
      </w:pPr>
    </w:p>
    <w:bookmarkStart w:id="311" w:name="page312"/>
    <w:bookmarkEnd w:id="31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MOMO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Underwriters named 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 hereto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MORGAN STANLEY &amp; CO. INTERNATIONAL</w:t>
            </w:r>
          </w:p>
        </w:tc>
      </w:tr>
      <w:tr>
        <w:trPr>
          <w:trHeight w:val="230"/>
        </w:trPr>
        <w:tc>
          <w:tcPr>
            <w:tcW w:w="580" w:type="dxa"/>
            <w:vAlign w:val="bottom"/>
          </w:tcPr>
          <w:p>
            <w:pPr>
              <w:spacing w:after="0"/>
              <w:rPr>
                <w:sz w:val="20"/>
                <w:szCs w:val="20"/>
                <w:color w:val="auto"/>
              </w:rPr>
            </w:pP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PLC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CREDIT SUISSE SECURITIES (USA)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J.P. MORGAN SECURITIES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CHINA RENAISSANCE SECURITIES (HONG</w:t>
            </w:r>
          </w:p>
        </w:tc>
      </w:tr>
      <w:tr>
        <w:trPr>
          <w:trHeight w:val="230"/>
        </w:trPr>
        <w:tc>
          <w:tcPr>
            <w:tcW w:w="580" w:type="dxa"/>
            <w:vAlign w:val="bottom"/>
          </w:tcPr>
          <w:p>
            <w:pPr>
              <w:spacing w:after="0"/>
              <w:rPr>
                <w:sz w:val="20"/>
                <w:szCs w:val="20"/>
                <w:color w:val="auto"/>
              </w:rPr>
            </w:pP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KONG)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gridSpan w:val="2"/>
          </w:tcPr>
          <w:p>
            <w:pPr>
              <w:ind w:left="34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Signature page to Underwriting Agreement</w:t>
            </w:r>
            <w:r>
              <w:rPr>
                <w:rFonts w:ascii="Arial" w:cs="Arial" w:eastAsia="Arial" w:hAnsi="Arial"/>
                <w:sz w:val="18"/>
                <w:szCs w:val="18"/>
                <w:color w:val="auto"/>
                <w:w w:val="91"/>
              </w:rPr>
              <w:t>]</w:t>
            </w:r>
          </w:p>
        </w:tc>
      </w:tr>
    </w:tbl>
    <w:p>
      <w:pPr>
        <w:sectPr>
          <w:pgSz w:w="11900" w:h="16838" w:orient="portrait"/>
          <w:cols w:equalWidth="0" w:num="1">
            <w:col w:w="10219"/>
          </w:cols>
          <w:pgMar w:left="240" w:top="273" w:right="1440" w:bottom="1440" w:gutter="0" w:footer="0" w:header="0"/>
        </w:sectPr>
      </w:pPr>
    </w:p>
    <w:bookmarkStart w:id="313" w:name="page314"/>
    <w:bookmarkEnd w:id="313"/>
    <w:p>
      <w:pPr>
        <w:ind w:left="9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ectPr>
          <w:pgSz w:w="11900" w:h="16838" w:orient="portrait"/>
          <w:cols w:equalWidth="0" w:num="1">
            <w:col w:w="10220"/>
          </w:cols>
          <w:pgMar w:left="14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15240</wp:posOffset>
            </wp:positionV>
            <wp:extent cx="5505450"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Morgan Stanley &amp; Co. International plc</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-130810</wp:posOffset>
            </wp:positionV>
            <wp:extent cx="550545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China Renaissance Securities (Hong Kong) Limited</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Firm Shares</w:t>
      </w:r>
    </w:p>
    <w:p>
      <w:pPr>
        <w:jc w:val="center"/>
        <w:spacing w:after="0" w:line="221" w:lineRule="auto"/>
        <w:rPr>
          <w:sz w:val="20"/>
          <w:szCs w:val="20"/>
          <w:color w:val="auto"/>
        </w:rPr>
      </w:pPr>
      <w:r>
        <w:rPr>
          <w:rFonts w:ascii="Arial" w:cs="Arial" w:eastAsia="Arial" w:hAnsi="Arial"/>
          <w:sz w:val="14"/>
          <w:szCs w:val="14"/>
          <w:b w:val="1"/>
          <w:bCs w:val="1"/>
          <w:color w:val="auto"/>
        </w:rPr>
        <w:t>To Be</w:t>
      </w:r>
    </w:p>
    <w:p>
      <w:pPr>
        <w:jc w:val="center"/>
        <w:spacing w:after="0"/>
        <w:rPr>
          <w:sz w:val="20"/>
          <w:szCs w:val="20"/>
          <w:color w:val="auto"/>
        </w:rPr>
      </w:pPr>
      <w:r>
        <w:rPr>
          <w:rFonts w:ascii="Arial" w:cs="Arial" w:eastAsia="Arial" w:hAnsi="Arial"/>
          <w:sz w:val="14"/>
          <w:szCs w:val="14"/>
          <w:b w:val="1"/>
          <w:bCs w:val="1"/>
          <w:color w:val="auto"/>
        </w:rPr>
        <w:t>Purchased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480"/>
        <w:spacing w:after="0"/>
        <w:rPr>
          <w:sz w:val="20"/>
          <w:szCs w:val="20"/>
          <w:color w:val="auto"/>
        </w:rPr>
      </w:pPr>
      <w:r>
        <w:rPr>
          <w:rFonts w:ascii="Arial" w:cs="Arial" w:eastAsia="Arial" w:hAnsi="Arial"/>
          <w:sz w:val="14"/>
          <w:szCs w:val="14"/>
          <w:b w:val="1"/>
          <w:bCs w:val="1"/>
          <w:color w:val="auto"/>
        </w:rPr>
        <w:t>Maximum</w:t>
      </w:r>
    </w:p>
    <w:p>
      <w:pPr>
        <w:jc w:val="center"/>
        <w:ind w:right="1480"/>
        <w:spacing w:after="0" w:line="226" w:lineRule="auto"/>
        <w:rPr>
          <w:sz w:val="20"/>
          <w:szCs w:val="20"/>
          <w:color w:val="auto"/>
        </w:rPr>
      </w:pPr>
      <w:r>
        <w:rPr>
          <w:rFonts w:ascii="Arial" w:cs="Arial" w:eastAsia="Arial" w:hAnsi="Arial"/>
          <w:sz w:val="14"/>
          <w:szCs w:val="14"/>
          <w:b w:val="1"/>
          <w:bCs w:val="1"/>
          <w:color w:val="auto"/>
        </w:rPr>
        <w:t>Number of</w:t>
      </w:r>
    </w:p>
    <w:p>
      <w:pPr>
        <w:jc w:val="center"/>
        <w:ind w:right="1480"/>
        <w:spacing w:after="0" w:line="222" w:lineRule="auto"/>
        <w:rPr>
          <w:sz w:val="20"/>
          <w:szCs w:val="20"/>
          <w:color w:val="auto"/>
        </w:rPr>
      </w:pPr>
      <w:r>
        <w:rPr>
          <w:rFonts w:ascii="Arial" w:cs="Arial" w:eastAsia="Arial" w:hAnsi="Arial"/>
          <w:sz w:val="14"/>
          <w:szCs w:val="14"/>
          <w:b w:val="1"/>
          <w:bCs w:val="1"/>
          <w:color w:val="auto"/>
        </w:rPr>
        <w:t>Additional</w:t>
      </w:r>
    </w:p>
    <w:p>
      <w:pPr>
        <w:jc w:val="center"/>
        <w:ind w:right="1480"/>
        <w:spacing w:after="0"/>
        <w:rPr>
          <w:sz w:val="20"/>
          <w:szCs w:val="20"/>
          <w:color w:val="auto"/>
        </w:rPr>
      </w:pPr>
      <w:r>
        <w:rPr>
          <w:rFonts w:ascii="Arial" w:cs="Arial" w:eastAsia="Arial" w:hAnsi="Arial"/>
          <w:sz w:val="12"/>
          <w:szCs w:val="12"/>
          <w:b w:val="1"/>
          <w:bCs w:val="1"/>
          <w:color w:val="auto"/>
        </w:rPr>
        <w:t>Shares To Be</w:t>
      </w:r>
    </w:p>
    <w:p>
      <w:pPr>
        <w:spacing w:after="0" w:line="11" w:lineRule="exact"/>
        <w:rPr>
          <w:sz w:val="20"/>
          <w:szCs w:val="20"/>
          <w:color w:val="auto"/>
        </w:rPr>
      </w:pPr>
    </w:p>
    <w:p>
      <w:pPr>
        <w:jc w:val="center"/>
        <w:ind w:right="1480"/>
        <w:spacing w:after="0"/>
        <w:rPr>
          <w:sz w:val="20"/>
          <w:szCs w:val="20"/>
          <w:color w:val="auto"/>
        </w:rPr>
      </w:pPr>
      <w:r>
        <w:rPr>
          <w:rFonts w:ascii="Arial" w:cs="Arial" w:eastAsia="Arial" w:hAnsi="Arial"/>
          <w:sz w:val="14"/>
          <w:szCs w:val="14"/>
          <w:b w:val="1"/>
          <w:bCs w:val="1"/>
          <w:color w:val="auto"/>
        </w:rPr>
        <w:t>Purchased</w:t>
      </w:r>
    </w:p>
    <w:p>
      <w:pPr>
        <w:spacing w:after="0" w:line="858" w:lineRule="exact"/>
        <w:rPr>
          <w:sz w:val="20"/>
          <w:szCs w:val="20"/>
          <w:color w:val="auto"/>
        </w:rPr>
      </w:pPr>
    </w:p>
    <w:p>
      <w:pPr>
        <w:sectPr>
          <w:pgSz w:w="11900" w:h="16838" w:orient="portrait"/>
          <w:cols w:equalWidth="0" w:num="3">
            <w:col w:w="5980" w:space="720"/>
            <w:col w:w="760" w:space="500"/>
            <w:col w:w="2260"/>
          </w:cols>
          <w:pgMar w:left="1440" w:top="270" w:right="239" w:bottom="1440" w:gutter="0" w:footer="0" w:header="0"/>
          <w:type w:val="continuous"/>
        </w:sectPr>
      </w:pPr>
    </w:p>
    <w:tbl>
      <w:tblPr>
        <w:tblLayout w:type="fixed"/>
        <w:tblInd w:w="180" w:type="dxa"/>
        <w:tblCellMar>
          <w:top w:w="0" w:type="dxa"/>
          <w:left w:w="0" w:type="dxa"/>
          <w:bottom w:w="0" w:type="dxa"/>
          <w:right w:w="0" w:type="dxa"/>
        </w:tblCellMar>
      </w:tblPr>
      <w:tr>
        <w:trPr>
          <w:trHeight w:val="41"/>
        </w:trPr>
        <w:tc>
          <w:tcPr>
            <w:tcW w:w="648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4,800,000</w:t>
            </w:r>
          </w:p>
        </w:tc>
        <w:tc>
          <w:tcPr>
            <w:tcW w:w="100" w:type="dxa"/>
            <w:vAlign w:val="bottom"/>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Schedule I</w:t>
      </w:r>
    </w:p>
    <w:p>
      <w:pPr>
        <w:sectPr>
          <w:pgSz w:w="11900" w:h="16838" w:orient="portrait"/>
          <w:cols w:equalWidth="0" w:num="1">
            <w:col w:w="10220"/>
          </w:cols>
          <w:pgMar w:left="1440" w:top="270" w:right="239" w:bottom="1440" w:gutter="0" w:footer="0" w:header="0"/>
          <w:type w:val="continuous"/>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Preliminary Prospectus issued [date]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[identify all free writing prospectuses filed by the Company under Rule 433(d) of the Securities Act]</w:t>
      </w:r>
    </w:p>
    <w:p>
      <w:pPr>
        <w:spacing w:after="0" w:line="13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[free writing prospectus containing a description of terms that does not reflect final terms, if the Time of Sale Prospectus does not include a final term sheet]</w:t>
      </w:r>
    </w:p>
    <w:p>
      <w:pPr>
        <w:spacing w:after="0" w:line="75"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[orally communicated pricing information such as price per share and size of offering if a Rule 134 pricing term sheet is used at the time of sale instead of a pricing term sheet filed by the Company under Rule 433(d) as a free writing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w:t>
      </w:r>
    </w:p>
    <w:p>
      <w:pPr>
        <w:sectPr>
          <w:pgSz w:w="11900" w:h="16838" w:orient="portrait"/>
          <w:cols w:equalWidth="0" w:num="1">
            <w:col w:w="11420"/>
          </w:cols>
          <w:pgMar w:left="240" w:top="269" w:right="239" w:bottom="1440" w:gutter="0" w:footer="0" w:header="0"/>
        </w:sectPr>
      </w:pPr>
    </w:p>
    <w:bookmarkStart w:id="315" w:name="page316"/>
    <w:bookmarkEnd w:id="315"/>
    <w:tbl>
      <w:tblPr>
        <w:tblLayout w:type="fixed"/>
        <w:tblInd w:w="1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gridSpan w:val="2"/>
          </w:tcPr>
          <w:p>
            <w:pPr>
              <w:ind w:left="1320"/>
              <w:spacing w:after="0"/>
              <w:rPr>
                <w:sz w:val="20"/>
                <w:szCs w:val="20"/>
                <w:color w:val="auto"/>
              </w:rPr>
            </w:pPr>
            <w:r>
              <w:rPr>
                <w:rFonts w:ascii="Arial" w:cs="Arial" w:eastAsia="Arial" w:hAnsi="Arial"/>
                <w:sz w:val="18"/>
                <w:szCs w:val="18"/>
                <w:b w:val="1"/>
                <w:bCs w:val="1"/>
                <w:color w:val="auto"/>
              </w:rPr>
              <w:t>SCHEDULE III-A</w:t>
            </w:r>
          </w:p>
        </w:tc>
      </w:tr>
      <w:tr>
        <w:trPr>
          <w:trHeight w:val="432"/>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Pr>
          <w:p>
            <w:pPr>
              <w:ind w:left="2480"/>
              <w:spacing w:after="0"/>
              <w:rPr>
                <w:sz w:val="20"/>
                <w:szCs w:val="20"/>
                <w:color w:val="auto"/>
              </w:rPr>
            </w:pPr>
            <w:r>
              <w:rPr>
                <w:rFonts w:ascii="Arial" w:cs="Arial" w:eastAsia="Arial" w:hAnsi="Arial"/>
                <w:sz w:val="18"/>
                <w:szCs w:val="18"/>
                <w:b w:val="1"/>
                <w:bCs w:val="1"/>
                <w:color w:val="auto"/>
              </w:rPr>
              <w:t>SUBSIDIARIES OF THE COMPANY</w:t>
            </w: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Place of Incorporation</w:t>
            </w:r>
          </w:p>
        </w:tc>
        <w:tc>
          <w:tcPr>
            <w:tcW w:w="1360" w:type="dxa"/>
            <w:vAlign w:val="bottom"/>
          </w:tcPr>
          <w:p>
            <w:pPr>
              <w:spacing w:after="0"/>
              <w:rPr>
                <w:sz w:val="24"/>
                <w:szCs w:val="24"/>
                <w:color w:val="auto"/>
              </w:rPr>
            </w:pPr>
          </w:p>
        </w:tc>
      </w:tr>
      <w:tr>
        <w:trPr>
          <w:trHeight w:val="311"/>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Momo Technology HK Company Limited</w:t>
            </w:r>
          </w:p>
        </w:tc>
        <w:tc>
          <w:tcPr>
            <w:tcW w:w="3500" w:type="dxa"/>
            <w:vAlign w:val="bottom"/>
            <w:gridSpan w:val="3"/>
          </w:tcPr>
          <w:p>
            <w:pPr>
              <w:ind w:left="740"/>
              <w:spacing w:after="0"/>
              <w:rPr>
                <w:sz w:val="20"/>
                <w:szCs w:val="20"/>
                <w:color w:val="auto"/>
              </w:rPr>
            </w:pPr>
            <w:r>
              <w:rPr>
                <w:rFonts w:ascii="Arial" w:cs="Arial" w:eastAsia="Arial" w:hAnsi="Arial"/>
                <w:sz w:val="18"/>
                <w:szCs w:val="18"/>
                <w:color w:val="auto"/>
              </w:rPr>
              <w:t>Hong Kong</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Beijing Momo Information Technology Co., Ltd.</w:t>
            </w:r>
          </w:p>
        </w:tc>
        <w:tc>
          <w:tcPr>
            <w:tcW w:w="3500" w:type="dxa"/>
            <w:vAlign w:val="bottom"/>
            <w:gridSpan w:val="3"/>
          </w:tcPr>
          <w:p>
            <w:pPr>
              <w:ind w:left="740"/>
              <w:spacing w:after="0"/>
              <w:rPr>
                <w:sz w:val="20"/>
                <w:szCs w:val="20"/>
                <w:color w:val="auto"/>
              </w:rPr>
            </w:pPr>
            <w:r>
              <w:rPr>
                <w:rFonts w:ascii="Arial" w:cs="Arial" w:eastAsia="Arial" w:hAnsi="Arial"/>
                <w:sz w:val="18"/>
                <w:szCs w:val="18"/>
                <w:color w:val="auto"/>
              </w:rPr>
              <w:t>PRC</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Momo Information Technologies Corp.</w:t>
            </w:r>
          </w:p>
        </w:tc>
        <w:tc>
          <w:tcPr>
            <w:tcW w:w="3500" w:type="dxa"/>
            <w:vAlign w:val="bottom"/>
            <w:gridSpan w:val="3"/>
          </w:tcPr>
          <w:p>
            <w:pPr>
              <w:ind w:left="740"/>
              <w:spacing w:after="0"/>
              <w:rPr>
                <w:sz w:val="20"/>
                <w:szCs w:val="20"/>
                <w:color w:val="auto"/>
              </w:rPr>
            </w:pPr>
            <w:r>
              <w:rPr>
                <w:rFonts w:ascii="Arial" w:cs="Arial" w:eastAsia="Arial" w:hAnsi="Arial"/>
                <w:sz w:val="18"/>
                <w:szCs w:val="18"/>
                <w:color w:val="auto"/>
              </w:rPr>
              <w:t>Delaware</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Momo Technology Overseas Holding Company Limited</w:t>
            </w:r>
          </w:p>
        </w:tc>
        <w:tc>
          <w:tcPr>
            <w:tcW w:w="3500" w:type="dxa"/>
            <w:vAlign w:val="bottom"/>
            <w:gridSpan w:val="3"/>
          </w:tcPr>
          <w:p>
            <w:pPr>
              <w:ind w:left="740"/>
              <w:spacing w:after="0"/>
              <w:rPr>
                <w:sz w:val="20"/>
                <w:szCs w:val="20"/>
                <w:color w:val="auto"/>
              </w:rPr>
            </w:pPr>
            <w:r>
              <w:rPr>
                <w:rFonts w:ascii="Arial" w:cs="Arial" w:eastAsia="Arial" w:hAnsi="Arial"/>
                <w:sz w:val="18"/>
                <w:szCs w:val="18"/>
                <w:color w:val="auto"/>
              </w:rPr>
              <w:t>BVI</w:t>
            </w:r>
          </w:p>
        </w:tc>
      </w:tr>
      <w:tr>
        <w:trPr>
          <w:trHeight w:val="432"/>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Pr>
          <w:p>
            <w:pPr>
              <w:ind w:left="3420"/>
              <w:spacing w:after="0"/>
              <w:rPr>
                <w:sz w:val="20"/>
                <w:szCs w:val="20"/>
                <w:color w:val="auto"/>
              </w:rPr>
            </w:pPr>
            <w:r>
              <w:rPr>
                <w:rFonts w:ascii="Arial" w:cs="Arial" w:eastAsia="Arial" w:hAnsi="Arial"/>
                <w:sz w:val="18"/>
                <w:szCs w:val="18"/>
                <w:color w:val="auto"/>
              </w:rPr>
              <w:t>Schedule III-A</w:t>
            </w: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20"/>
          </w:cols>
          <w:pgMar w:left="1440" w:top="26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ENTITIES OF THE COMPANY</w:t>
      </w:r>
    </w:p>
    <w:p>
      <w:pPr>
        <w:spacing w:after="0" w:line="135"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Beijing Momo Technology Co., Ltd.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Chengdu Momo Technology Co.,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III-B</w:t>
      </w:r>
    </w:p>
    <w:p>
      <w:pPr>
        <w:sectPr>
          <w:pgSz w:w="11900" w:h="16838" w:orient="portrait"/>
          <w:cols w:equalWidth="0" w:num="1">
            <w:col w:w="11420"/>
          </w:cols>
          <w:pgMar w:left="240" w:top="270"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LOCKED-UP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and executive officers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ordinary and preferred shareholders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option holders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IV</w:t>
      </w:r>
    </w:p>
    <w:p>
      <w:pPr>
        <w:sectPr>
          <w:pgSz w:w="11900" w:h="16838" w:orient="portrait"/>
          <w:cols w:equalWidth="0" w:num="1">
            <w:col w:w="11420"/>
          </w:cols>
          <w:pgMar w:left="240" w:top="269" w:right="2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Cabot Square, 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4QA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China Renaissance Securities (Hong Kong)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 901, Agricultural Bank of China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Connaught Road Central,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undersigned understands that Morgan Stanley &amp; Co. International plc, Credit Suisse Securities (USA) LLC, J.P. Morgan Securities LLC and China Renaissance Securities (Hong Kong) Limited, as representatives (each, a “</w:t>
      </w:r>
      <w:r>
        <w:rPr>
          <w:rFonts w:ascii="Arial" w:cs="Arial" w:eastAsia="Arial" w:hAnsi="Arial"/>
          <w:sz w:val="16"/>
          <w:szCs w:val="16"/>
          <w:b w:val="1"/>
          <w:bCs w:val="1"/>
          <w:color w:val="auto"/>
        </w:rPr>
        <w:t>Representative</w:t>
      </w:r>
      <w:r>
        <w:rPr>
          <w:rFonts w:ascii="Arial" w:cs="Arial" w:eastAsia="Arial" w:hAnsi="Arial"/>
          <w:sz w:val="16"/>
          <w:szCs w:val="16"/>
          <w:color w:val="auto"/>
        </w:rPr>
        <w:t>,” and collectively, the “</w:t>
      </w:r>
      <w:r>
        <w:rPr>
          <w:rFonts w:ascii="Arial" w:cs="Arial" w:eastAsia="Arial" w:hAnsi="Arial"/>
          <w:sz w:val="16"/>
          <w:szCs w:val="16"/>
          <w:b w:val="1"/>
          <w:bCs w:val="1"/>
          <w:color w:val="auto"/>
        </w:rPr>
        <w:t>Representatives</w:t>
      </w:r>
      <w:r>
        <w:rPr>
          <w:rFonts w:ascii="Arial" w:cs="Arial" w:eastAsia="Arial" w:hAnsi="Arial"/>
          <w:sz w:val="16"/>
          <w:szCs w:val="16"/>
          <w:color w:val="auto"/>
        </w:rPr>
        <w:t>”) of the several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under the Underwriting Agreement, propose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Momo Inc., an exempted company incorporated with limited liability under the laws of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several Underwriters, including the Representatives, of a certain number of ordinary shares, par value US$0.0001 per share, of the Company (the “</w:t>
      </w:r>
      <w:r>
        <w:rPr>
          <w:rFonts w:ascii="Arial" w:cs="Arial" w:eastAsia="Arial" w:hAnsi="Arial"/>
          <w:sz w:val="16"/>
          <w:szCs w:val="16"/>
          <w:b w:val="1"/>
          <w:bCs w:val="1"/>
          <w:color w:val="auto"/>
        </w:rPr>
        <w:t>Ordinary Shares</w:t>
      </w:r>
      <w:r>
        <w:rPr>
          <w:rFonts w:ascii="Arial" w:cs="Arial" w:eastAsia="Arial" w:hAnsi="Arial"/>
          <w:sz w:val="16"/>
          <w:szCs w:val="16"/>
          <w:color w:val="auto"/>
        </w:rPr>
        <w:t>”) in the form of American Depositary Shares (“</w:t>
      </w:r>
      <w:r>
        <w:rPr>
          <w:rFonts w:ascii="Arial" w:cs="Arial" w:eastAsia="Arial" w:hAnsi="Arial"/>
          <w:sz w:val="16"/>
          <w:szCs w:val="16"/>
          <w:b w:val="1"/>
          <w:bCs w:val="1"/>
          <w:color w:val="auto"/>
        </w:rPr>
        <w:t>American Depositary Shares</w:t>
      </w:r>
      <w:r>
        <w:rPr>
          <w:rFonts w:ascii="Arial" w:cs="Arial" w:eastAsia="Arial" w:hAnsi="Arial"/>
          <w:sz w:val="16"/>
          <w:szCs w:val="16"/>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420"/>
          </w:cols>
          <w:pgMar w:left="240" w:top="270" w:right="239" w:bottom="1440" w:gutter="0" w:footer="0" w:header="0"/>
        </w:sectPr>
      </w:pPr>
    </w:p>
    <w:bookmarkStart w:id="319" w:name="page320"/>
    <w:bookmarkEnd w:id="319"/>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induce the Underwriters that may participate in the Public Offering to continue their efforts in connection with the Public Offering, the undersigned hereby agrees that, without the prior written consent of the Representatives on behalf of the Underwriters, it will not, during the period commencing on the date hereof and ending 180 days after the date of the final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Ordinary Shares, Preferred Shares (as defined below) or American Depositary Shares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beneficially owned (as such term is used in Rule 13d-3 of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by the undersigned or any other securities so owned convertible into or exercisable or exchangeable for the Securities or (2) enter into any swap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arrangement that transfers to another, in whole or in part, any of the economic consequences of ownership of the Securities, whether any such transaction described in clause (1) or (2) above is to be settled by delivery of the Securities or such other securities, in cash or otherwise. The foregoing sentence shall not apply to (a) transactions relating to the Securities or other securities of the Company acquired in open market transactions after the completion of the Public Offering, (b) transfers of shares of the Securities or any security convertible into the Securities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(c) distributions of shares of the Securities or any security convertible into the Securities to limited partners or stockholders of the undersigned;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(b) or (c), each donee or distributee shall sign and deliver to the Representatives a lock-up letter substantially in the form of this letter, (d) the establishment of a trading plan pursuant to Rule 10b5-1 under the Exchange Act for the transfer of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the transfer of the Securities during the Restricted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the Securities may be made under such plan during the Restricted Period or (e) transfer of shares or the Securities or any security convertible into the Securities to any trust for the direct or indirect benefit of the undersigned or the immediate family of the undersigned, provided that (i) the trustee of the trust or the transferred agrees to be bound in writing by the restrictions set forth herein, (ii) any such transfer shall not involve a disposition for value and (iii) no filing under the Exchange Act, reporting a reduction or increase in beneficial ownership of any class of Ordinary Shares or American Depositary Shares, shall be required or shall be voluntarily made during the Restricted Period. In addition, the undersigned agrees that, without the prior written consent of the Representatives on behalf of the Underwriters, it will not, during the Restricted Period, make any demand for or exercise any right with respect to, the registration of any Securities or any security convertible into or exercisable or exchangeable for the Securities. The undersigned hereby also agrees and consents to the entry of stop transfer instructions with the Company’s transfer agent and registrar against the transfer of the undersigned’s Securities unless such transfer is in compliance with the foregoing restrictions. “</w:t>
      </w:r>
      <w:r>
        <w:rPr>
          <w:rFonts w:ascii="Arial" w:cs="Arial" w:eastAsia="Arial" w:hAnsi="Arial"/>
          <w:sz w:val="16"/>
          <w:szCs w:val="16"/>
          <w:b w:val="1"/>
          <w:bCs w:val="1"/>
          <w:color w:val="auto"/>
        </w:rPr>
        <w:t>Preferred Shares</w:t>
      </w:r>
      <w:r>
        <w:rPr>
          <w:rFonts w:ascii="Arial" w:cs="Arial" w:eastAsia="Arial" w:hAnsi="Arial"/>
          <w:sz w:val="16"/>
          <w:szCs w:val="16"/>
          <w:color w:val="auto"/>
        </w:rPr>
        <w:t>” means redeemable Series A-1 preferred shares, par value US$0.0001 per share, redeemable Series A-2 preferred shares, par value US$0.0001 per share, redeemable Series A-3 preferred shares, par value US$0.0001 per share, redeemable Series B preferred shares, par value US$0.0001 per share, redeemable Series C preferred shares, par value US$0.0001 per share, and redeemable Series D preferred shares, par value US$0.0001 per share, in each case of the Company.</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issuer-directed Securities the undersigned may purchase in the Public Offering.</w:t>
      </w:r>
    </w:p>
    <w:p>
      <w:pPr>
        <w:spacing w:after="0" w:line="17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the Securities, one of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ectPr>
          <w:pgSz w:w="11900" w:h="16838" w:orient="portrait"/>
          <w:cols w:equalWidth="0" w:num="1">
            <w:col w:w="11400"/>
          </w:cols>
          <w:pgMar w:left="240" w:top="274" w:right="259" w:bottom="1440" w:gutter="0" w:footer="0" w:header="0"/>
        </w:sectPr>
      </w:pPr>
    </w:p>
    <w:bookmarkStart w:id="320" w:name="page321"/>
    <w:bookmarkEnd w:id="320"/>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Whether or not the Public Offering actually occurs depends on a number of factors, including market conditions. Any Public Offering will only be made pursuant to the Underwriting Agreement.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agreement is governed by, and to be construed in accordance with, the internal laws of the State of New York, without regard to the conflict of laws principles thereof.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186690</wp:posOffset>
            </wp:positionV>
            <wp:extent cx="28987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194945</wp:posOffset>
            </wp:positionV>
            <wp:extent cx="28987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11080"/>
          </w:cols>
          <w:pgMar w:left="240" w:top="274" w:right="57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r>
        <w:rPr>
          <w:rFonts w:ascii="Arial" w:cs="Arial" w:eastAsia="Arial" w:hAnsi="Arial"/>
          <w:sz w:val="15"/>
          <w:szCs w:val="15"/>
          <w:b w:val="1"/>
          <w:bCs w:val="1"/>
          <w:color w:val="auto"/>
        </w:rPr>
        <w: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ind w:left="10620"/>
        <w:spacing w:after="0"/>
        <w:rPr>
          <w:sz w:val="20"/>
          <w:szCs w:val="20"/>
          <w:color w:val="auto"/>
        </w:rPr>
      </w:pPr>
      <w:r>
        <w:rPr>
          <w:rFonts w:ascii="Arial" w:cs="Arial" w:eastAsia="Arial" w:hAnsi="Arial"/>
          <w:sz w:val="18"/>
          <w:szCs w:val="18"/>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This letter is being delivered to you in connection with the offering by Momo Inc. (the “</w:t>
      </w:r>
      <w:r>
        <w:rPr>
          <w:rFonts w:ascii="Arial" w:cs="Arial" w:eastAsia="Arial" w:hAnsi="Arial"/>
          <w:sz w:val="16"/>
          <w:szCs w:val="16"/>
          <w:b w:val="1"/>
          <w:bCs w:val="1"/>
          <w:color w:val="auto"/>
        </w:rPr>
        <w:t>Company</w:t>
      </w:r>
      <w:r>
        <w:rPr>
          <w:rFonts w:ascii="Arial" w:cs="Arial" w:eastAsia="Arial" w:hAnsi="Arial"/>
          <w:sz w:val="16"/>
          <w:szCs w:val="16"/>
          <w:color w:val="auto"/>
        </w:rPr>
        <w:t>”) of [—] ordinary shares, par value US$0.0001 per share,</w:t>
      </w:r>
    </w:p>
    <w:p>
      <w:pPr>
        <w:spacing w:after="0" w:line="50" w:lineRule="exact"/>
        <w:rPr>
          <w:sz w:val="20"/>
          <w:szCs w:val="20"/>
          <w:color w:val="auto"/>
        </w:rPr>
      </w:pPr>
    </w:p>
    <w:p>
      <w:pPr>
        <w:ind w:right="520"/>
        <w:spacing w:after="0" w:line="290" w:lineRule="auto"/>
        <w:rPr>
          <w:sz w:val="20"/>
          <w:szCs w:val="20"/>
          <w:color w:val="auto"/>
        </w:rPr>
      </w:pPr>
      <w:r>
        <w:rPr>
          <w:rFonts w:ascii="Arial" w:cs="Arial" w:eastAsia="Arial" w:hAnsi="Arial"/>
          <w:sz w:val="17"/>
          <w:szCs w:val="17"/>
          <w:color w:val="auto"/>
        </w:rPr>
        <w:t>of the Company in the form of [—] American depositary shares, and the lock-up letter dated , 2014 (the “</w:t>
      </w:r>
      <w:r>
        <w:rPr>
          <w:rFonts w:ascii="Arial" w:cs="Arial" w:eastAsia="Arial" w:hAnsi="Arial"/>
          <w:sz w:val="17"/>
          <w:szCs w:val="17"/>
          <w:b w:val="1"/>
          <w:bCs w:val="1"/>
          <w:color w:val="auto"/>
        </w:rPr>
        <w:t>Lock-up Letter</w:t>
      </w:r>
      <w:r>
        <w:rPr>
          <w:rFonts w:ascii="Arial" w:cs="Arial" w:eastAsia="Arial" w:hAnsi="Arial"/>
          <w:sz w:val="17"/>
          <w:szCs w:val="17"/>
          <w:color w:val="auto"/>
        </w:rPr>
        <w:t>”), executed by you in connection with such offering, and your request for a [waiver] [release] dated , 2014, with respect to [—] ordinary shares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undersigned hereby agrees to [waive] [release] the transfer restrictions set forth in the Lock-up Letter, but only with respect to the Shares, effective [—];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[waiver] [release] is conditioned on the Company announcing the impending [waiver] [release] by press release through a major</w:t>
      </w:r>
      <w:r>
        <w:rPr>
          <w:rFonts w:ascii="Arial" w:cs="Arial" w:eastAsia="Arial" w:hAnsi="Arial"/>
          <w:sz w:val="18"/>
          <w:szCs w:val="18"/>
          <w:i w:val="1"/>
          <w:iCs w:val="1"/>
          <w:color w:val="auto"/>
        </w:rPr>
        <w:t xml:space="preserve"> </w:t>
      </w:r>
      <w:r>
        <w:rPr>
          <w:rFonts w:ascii="Arial" w:cs="Arial" w:eastAsia="Arial" w:hAnsi="Arial"/>
          <w:sz w:val="18"/>
          <w:szCs w:val="18"/>
          <w:color w:val="auto"/>
        </w:rPr>
        <w:t>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Underwriters named in Schedule I hereto</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360" w:right="5360" w:hanging="5352"/>
        <w:spacing w:after="0" w:line="624" w:lineRule="auto"/>
        <w:tabs>
          <w:tab w:leader="none" w:pos="447"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Insert if the undersigned is an executive officer or director of the Company. Exhibit B</w:t>
      </w:r>
    </w:p>
    <w:p>
      <w:pPr>
        <w:sectPr>
          <w:pgSz w:w="11900" w:h="16838" w:orient="portrait"/>
          <w:cols w:equalWidth="0" w:num="1">
            <w:col w:w="11420"/>
          </w:cols>
          <w:pgMar w:left="240" w:top="270" w:right="239" w:bottom="1440" w:gutter="0" w:footer="0" w:header="0"/>
        </w:sectPr>
      </w:pPr>
    </w:p>
    <w:bookmarkStart w:id="322" w:name="page323"/>
    <w:bookmarkEnd w:id="3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Momo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Momo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International plc, Credit Suisse Securities (USA) LLC, J.P. Morgan Securities LLC and China Renaissance Securities (Hong Kong) Limited, the joint book-running managers in the Company’s recent public sale of [—] ordinary shares in the form of [—] American depositary shares is [waiving] [releasing] a lock-up restriction with respect to [—] ordinary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Company</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held by [</w:t>
      </w:r>
      <w:r>
        <w:rPr>
          <w:rFonts w:ascii="Arial" w:cs="Arial" w:eastAsia="Arial" w:hAnsi="Arial"/>
          <w:sz w:val="18"/>
          <w:szCs w:val="18"/>
          <w:i w:val="1"/>
          <w:iCs w:val="1"/>
          <w:color w:val="auto"/>
        </w:rPr>
        <w:t>certain officers or directors</w:t>
      </w:r>
      <w:r>
        <w:rPr>
          <w:rFonts w:ascii="Arial" w:cs="Arial" w:eastAsia="Arial" w:hAnsi="Arial"/>
          <w:sz w:val="18"/>
          <w:szCs w:val="18"/>
          <w:color w:val="auto"/>
        </w:rPr>
        <w:t>] [</w:t>
      </w:r>
      <w:r>
        <w:rPr>
          <w:rFonts w:ascii="Arial" w:cs="Arial" w:eastAsia="Arial" w:hAnsi="Arial"/>
          <w:sz w:val="18"/>
          <w:szCs w:val="18"/>
          <w:i w:val="1"/>
          <w:iCs w:val="1"/>
          <w:color w:val="auto"/>
        </w:rPr>
        <w:t>an officer or director</w:t>
      </w:r>
      <w:r>
        <w:rPr>
          <w:rFonts w:ascii="Arial" w:cs="Arial" w:eastAsia="Arial" w:hAnsi="Arial"/>
          <w:sz w:val="18"/>
          <w:szCs w:val="18"/>
          <w:color w:val="auto"/>
        </w:rPr>
        <w:t>] of the Company. The [waiver] [release] will take effect on , 20 , and the Shares may be sold on or after such date.</w:t>
      </w:r>
    </w:p>
    <w:p>
      <w:pPr>
        <w:spacing w:after="0" w:line="180"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Press Release</w:t>
      </w:r>
    </w:p>
    <w:p>
      <w:pPr>
        <w:sectPr>
          <w:pgSz w:w="11900" w:h="16838" w:orient="portrait"/>
          <w:cols w:equalWidth="0" w:num="1">
            <w:col w:w="11400"/>
          </w:cols>
          <w:pgMar w:left="240" w:top="269" w:right="25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5.1</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Our ref</w:t>
      </w:r>
      <w:r>
        <w:rPr>
          <w:sz w:val="20"/>
          <w:szCs w:val="20"/>
          <w:color w:val="auto"/>
        </w:rPr>
        <w:tab/>
      </w:r>
      <w:r>
        <w:rPr>
          <w:rFonts w:ascii="Arial" w:cs="Arial" w:eastAsia="Arial" w:hAnsi="Arial"/>
          <w:sz w:val="16"/>
          <w:szCs w:val="16"/>
          <w:color w:val="auto"/>
        </w:rPr>
        <w:t>DLK/692329-000001/7476571v4</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Direct tel</w:t>
      </w:r>
      <w:r>
        <w:rPr>
          <w:sz w:val="20"/>
          <w:szCs w:val="20"/>
          <w:color w:val="auto"/>
        </w:rPr>
        <w:tab/>
      </w:r>
      <w:r>
        <w:rPr>
          <w:rFonts w:ascii="Arial" w:cs="Arial" w:eastAsia="Arial" w:hAnsi="Arial"/>
          <w:sz w:val="16"/>
          <w:szCs w:val="16"/>
          <w:color w:val="auto"/>
        </w:rPr>
        <w:t>+852 2971 3006</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Email</w:t>
      </w:r>
      <w:r>
        <w:rPr>
          <w:sz w:val="20"/>
          <w:szCs w:val="20"/>
          <w:color w:val="auto"/>
        </w:rPr>
        <w:tab/>
      </w:r>
      <w:r>
        <w:rPr>
          <w:rFonts w:ascii="Arial" w:cs="Arial" w:eastAsia="Arial" w:hAnsi="Arial"/>
          <w:sz w:val="18"/>
          <w:szCs w:val="18"/>
          <w:color w:val="auto"/>
        </w:rPr>
        <w:t>derrick.kan@maplesandcalder.com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Momo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20th Floor, Block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Tower 2, Wangjing SOHO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1 Futongdong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 December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Momo Inc.</w:t>
      </w:r>
    </w:p>
    <w:p>
      <w:pPr>
        <w:spacing w:after="0" w:line="11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have acted as Cayman Islands legal advisers to Momo Inc.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registration statement on Form F-1, including all amendments or supplements thereto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under the U.S. Securities Act of 1933, as amended to date relating to the offering by the Company of certain American Depositary Shares (the “</w:t>
      </w:r>
      <w:r>
        <w:rPr>
          <w:rFonts w:ascii="Arial" w:cs="Arial" w:eastAsia="Arial" w:hAnsi="Arial"/>
          <w:sz w:val="18"/>
          <w:szCs w:val="18"/>
          <w:b w:val="1"/>
          <w:bCs w:val="1"/>
          <w:color w:val="auto"/>
        </w:rPr>
        <w:t>ADSs</w:t>
      </w:r>
      <w:r>
        <w:rPr>
          <w:rFonts w:ascii="Arial" w:cs="Arial" w:eastAsia="Arial" w:hAnsi="Arial"/>
          <w:sz w:val="18"/>
          <w:szCs w:val="18"/>
          <w:color w:val="auto"/>
        </w:rPr>
        <w:t>”) representing the Company’s Class A Ordinary Shares of par value US$0.0001 each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furnishing this opinion as Exhibit 5.1 to the Registration Statement.</w:t>
      </w:r>
    </w:p>
    <w:p>
      <w:pPr>
        <w:spacing w:after="0" w:line="370" w:lineRule="exact"/>
        <w:rPr>
          <w:sz w:val="20"/>
          <w:szCs w:val="20"/>
          <w:color w:val="auto"/>
        </w:rPr>
      </w:pPr>
    </w:p>
    <w:p>
      <w:pPr>
        <w:ind w:left="460" w:hanging="452"/>
        <w:spacing w:after="0"/>
        <w:tabs>
          <w:tab w:leader="none" w:pos="4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reviewed only originals, copies or final drafts of the following documents:</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certificate of registration by way of continuation of the Company dated 17 July 2014 and the certificate of incorporation on change of name of the Company dated 28 July 2014.</w:t>
      </w:r>
    </w:p>
    <w:p>
      <w:pPr>
        <w:spacing w:after="0" w:line="76" w:lineRule="exact"/>
        <w:rPr>
          <w:sz w:val="20"/>
          <w:szCs w:val="20"/>
          <w:color w:val="auto"/>
        </w:rPr>
      </w:pPr>
    </w:p>
    <w:p>
      <w:pPr>
        <w:ind w:left="580" w:right="300" w:hanging="566"/>
        <w:spacing w:after="0" w:line="277"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amended and restated memorandum and articles of association of the Company as adopted by a special resolution passed on 11 July 2014 and effective upon continuation in the Cayman Islands on 17 July 2014 (the “</w:t>
      </w:r>
      <w:r>
        <w:rPr>
          <w:rFonts w:ascii="Arial" w:cs="Arial" w:eastAsia="Arial" w:hAnsi="Arial"/>
          <w:sz w:val="18"/>
          <w:szCs w:val="18"/>
          <w:b w:val="1"/>
          <w:bCs w:val="1"/>
          <w:color w:val="auto"/>
        </w:rPr>
        <w:t>Pre-IPO M&amp;A</w:t>
      </w:r>
      <w:r>
        <w:rPr>
          <w:rFonts w:ascii="Arial" w:cs="Arial" w:eastAsia="Arial" w:hAnsi="Arial"/>
          <w:sz w:val="18"/>
          <w:szCs w:val="18"/>
          <w:color w:val="auto"/>
        </w:rPr>
        <w:t>”).</w:t>
      </w:r>
    </w:p>
    <w:p>
      <w:pPr>
        <w:spacing w:after="0" w:line="76" w:lineRule="exact"/>
        <w:rPr>
          <w:sz w:val="20"/>
          <w:szCs w:val="20"/>
          <w:color w:val="auto"/>
        </w:rPr>
      </w:pPr>
    </w:p>
    <w:p>
      <w:pPr>
        <w:ind w:left="580" w:right="40" w:hanging="566"/>
        <w:spacing w:after="0" w:line="264" w:lineRule="auto"/>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second amended and restated memorandum and articles of association of the Company as conditionally adopted by a special resolution passed on 28 November 2014 and effective immediately upon the completion of the Company’s initial public offering of its Shares represented by ADSs (the “</w:t>
      </w:r>
      <w:r>
        <w:rPr>
          <w:rFonts w:ascii="Arial" w:cs="Arial" w:eastAsia="Arial" w:hAnsi="Arial"/>
          <w:sz w:val="18"/>
          <w:szCs w:val="18"/>
          <w:b w:val="1"/>
          <w:bCs w:val="1"/>
          <w:color w:val="auto"/>
        </w:rPr>
        <w:t>IPO M&amp;A</w:t>
      </w:r>
      <w:r>
        <w:rPr>
          <w:rFonts w:ascii="Arial" w:cs="Arial" w:eastAsia="Arial" w:hAnsi="Arial"/>
          <w:sz w:val="18"/>
          <w:szCs w:val="18"/>
          <w:color w:val="auto"/>
        </w:rPr>
        <w: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written resolutions of the directors of the Company dated 7 November 2014 and 28 November 2014 (the “</w:t>
      </w:r>
      <w:r>
        <w:rPr>
          <w:rFonts w:ascii="Arial" w:cs="Arial" w:eastAsia="Arial" w:hAnsi="Arial"/>
          <w:sz w:val="16"/>
          <w:szCs w:val="16"/>
          <w:b w:val="1"/>
          <w:bCs w:val="1"/>
          <w:color w:val="auto"/>
        </w:rPr>
        <w:t>Directors’ Resolutions</w:t>
      </w:r>
      <w:r>
        <w:rPr>
          <w:rFonts w:ascii="Arial" w:cs="Arial" w:eastAsia="Arial" w:hAnsi="Arial"/>
          <w:sz w:val="16"/>
          <w:szCs w:val="16"/>
          <w:color w:val="auto"/>
        </w:rPr>
        <w:t>”).</w:t>
      </w:r>
    </w:p>
    <w:p>
      <w:pPr>
        <w:sectPr>
          <w:pgSz w:w="11900" w:h="16838" w:orient="portrait"/>
          <w:cols w:equalWidth="0" w:num="1">
            <w:col w:w="11420"/>
          </w:cols>
          <w:pgMar w:left="240" w:top="121" w:right="239" w:bottom="1440" w:gutter="0" w:footer="0" w:header="0"/>
        </w:sectPr>
      </w:pPr>
    </w:p>
    <w:bookmarkStart w:id="324" w:name="page325"/>
    <w:bookmarkEnd w:id="32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The written resolution of the shareholders of the Company held on 28 November 2014 (the “</w:t>
      </w:r>
      <w:r>
        <w:rPr>
          <w:rFonts w:ascii="Arial" w:cs="Arial" w:eastAsia="Arial" w:hAnsi="Arial"/>
          <w:sz w:val="16"/>
          <w:szCs w:val="16"/>
          <w:b w:val="1"/>
          <w:bCs w:val="1"/>
          <w:color w:val="auto"/>
        </w:rPr>
        <w:t>Shareholders’ Resolutions</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A certificate from a Director of the Company, a copy of which is attached hereto (the “</w:t>
      </w:r>
      <w:r>
        <w:rPr>
          <w:rFonts w:ascii="Arial" w:cs="Arial" w:eastAsia="Arial" w:hAnsi="Arial"/>
          <w:sz w:val="16"/>
          <w:szCs w:val="16"/>
          <w:b w:val="1"/>
          <w:bCs w:val="1"/>
          <w:color w:val="auto"/>
        </w:rPr>
        <w:t>Director’s Certificate</w:t>
      </w:r>
      <w:r>
        <w:rPr>
          <w:rFonts w:ascii="Arial" w:cs="Arial" w:eastAsia="Arial" w:hAnsi="Arial"/>
          <w:sz w:val="16"/>
          <w:szCs w:val="16"/>
          <w:color w:val="auto"/>
        </w:rPr>
        <w:t>”).</w:t>
      </w:r>
    </w:p>
    <w:p>
      <w:pPr>
        <w:spacing w:after="0" w:line="131" w:lineRule="exact"/>
        <w:rPr>
          <w:sz w:val="20"/>
          <w:szCs w:val="20"/>
          <w:color w:val="auto"/>
        </w:rPr>
      </w:pPr>
    </w:p>
    <w:p>
      <w:pPr>
        <w:ind w:left="580" w:right="420" w:hanging="566"/>
        <w:spacing w:after="0" w:line="282" w:lineRule="auto"/>
        <w:tabs>
          <w:tab w:leader="none" w:pos="5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A certificate of good standing dated 27 November 2014, issued by the Registrar of Companies in the Cayman Islands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w:t>
      </w:r>
    </w:p>
    <w:p>
      <w:pPr>
        <w:spacing w:after="0" w:line="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Registration Statement.</w:t>
      </w:r>
    </w:p>
    <w:p>
      <w:pPr>
        <w:spacing w:after="0" w:line="370" w:lineRule="exact"/>
        <w:rPr>
          <w:sz w:val="20"/>
          <w:szCs w:val="20"/>
          <w:color w:val="auto"/>
        </w:rPr>
      </w:pPr>
    </w:p>
    <w:p>
      <w:pPr>
        <w:ind w:left="460" w:hanging="452"/>
        <w:spacing w:after="0"/>
        <w:tabs>
          <w:tab w:leader="none" w:pos="4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of the Director’s Certificate and the Certificate of Good Standing. We have also relied upon the following assumptions, which we have not independently verified:</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Copy documents or drafts of documents provided to us are true and complete copies of, or in the final forms of, the originals.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genuineness of all signatures and seals.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There is nothing under any law (other than the law of the Cayman Islands) which would or might affect the opinions set out below.</w:t>
      </w:r>
    </w:p>
    <w:p>
      <w:pPr>
        <w:spacing w:after="0" w:line="370" w:lineRule="exact"/>
        <w:rPr>
          <w:sz w:val="20"/>
          <w:szCs w:val="20"/>
          <w:color w:val="auto"/>
        </w:rPr>
      </w:pPr>
    </w:p>
    <w:p>
      <w:pPr>
        <w:ind w:left="460" w:hanging="452"/>
        <w:spacing w:after="0"/>
        <w:tabs>
          <w:tab w:leader="none" w:pos="4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upon the foregoing and subject to the qualifications set out below and having regard to such legal considerations as we deem relevant, we are of the opinion that:</w:t>
      </w:r>
    </w:p>
    <w:p>
      <w:pPr>
        <w:spacing w:after="0" w:line="76" w:lineRule="exact"/>
        <w:rPr>
          <w:sz w:val="20"/>
          <w:szCs w:val="20"/>
          <w:color w:val="auto"/>
        </w:rPr>
      </w:pPr>
    </w:p>
    <w:p>
      <w:pPr>
        <w:ind w:left="580" w:right="380" w:hanging="566"/>
        <w:spacing w:after="0" w:line="277"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registered by way of continuation as an exempted company with limited liability and is validly existing and in good standing under the laws of the Cayman Islands.</w:t>
      </w:r>
    </w:p>
    <w:p>
      <w:pPr>
        <w:spacing w:after="0" w:line="76" w:lineRule="exact"/>
        <w:rPr>
          <w:sz w:val="20"/>
          <w:szCs w:val="20"/>
          <w:color w:val="auto"/>
        </w:rPr>
      </w:pPr>
    </w:p>
    <w:p>
      <w:pPr>
        <w:ind w:left="580" w:right="20" w:hanging="566"/>
        <w:spacing w:after="0" w:line="259"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authorised share capital of the Company, with effect immediately upon the completion of the Company’s initial public offering of the Shares represented by ADSs, will be US$100,000 divided into 800,000,000 of a par value of US$0.0001 each, 100,000,000 Class B Ordinary Shares of a par value of US$0.0001 each and 100,000,000 shares of a par value of US$0.0001 each of such classes as may be determined by the directors of the Company.</w:t>
      </w:r>
    </w:p>
    <w:p>
      <w:pPr>
        <w:spacing w:after="0" w:line="92" w:lineRule="exact"/>
        <w:rPr>
          <w:sz w:val="20"/>
          <w:szCs w:val="20"/>
          <w:color w:val="auto"/>
        </w:rPr>
      </w:pPr>
    </w:p>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issue and allotment of the Shares have been duly authorised and when allotted, issued and paid for as contemplated in the Registration Statement, the Shares will be legally issued and allotted, fully paid and non-assessable (meaning that no further sums are payable by the holder of such Shares to the Company or to the Company’s creditors solely because it is the holder of any Shares). As a matter of Cayman law, a share is only issued when it has been entered in the register of members (shareholders).</w:t>
      </w:r>
    </w:p>
    <w:p>
      <w:pPr>
        <w:spacing w:after="0" w:line="92" w:lineRule="exact"/>
        <w:rPr>
          <w:sz w:val="20"/>
          <w:szCs w:val="20"/>
          <w:color w:val="auto"/>
        </w:rPr>
      </w:pPr>
    </w:p>
    <w:p>
      <w:pPr>
        <w:ind w:left="580" w:right="40" w:hanging="566"/>
        <w:spacing w:after="0" w:line="277"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statements under the caption “Taxation” in the prospectus forming part of the Registration Statement, to the extent that they constitute statements of Cayman Islands law, are accurate in all material respects and that such statements constitute our opinion.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325" w:name="page326"/>
    <w:bookmarkEnd w:id="325"/>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Qualifications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name under the headings “Enforceability of Civil Liabilities”, “Taxation”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consent to the use in this Registration Statement on Amendment No. 3 to Form F-1 of our report dated June 13, 2014 (December 8, 2014 as to the subsequent events described in Note 19 and the effects of the restatement discussed in Note 13), relating to the consolidated financial statements of Momo Technology Company Limited (renamed as Momo Inc.), its variable limited entity (“VIE”), and its VIE’s subsidiary as of and for the two years in the period ended December 31, 2013, and related financial statement schedule appearing in the Prospectus, which is part of this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such Prospectus.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8,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DF2233"/>
    <w:multiLevelType w:val="hybridMultilevel"/>
    <w:lvl w:ilvl="0">
      <w:lvlJc w:val="left"/>
      <w:lvlText w:val="(%1)"/>
      <w:numFmt w:val="decimal"/>
      <w:start w:val="1"/>
    </w:lvl>
  </w:abstractNum>
  <w:abstractNum w:abstractNumId="1">
    <w:nsid w:val="7AB49DAF"/>
    <w:multiLevelType w:val="hybridMultilevel"/>
    <w:lvl w:ilvl="0">
      <w:lvlJc w:val="left"/>
      <w:lvlText w:val="•"/>
      <w:numFmt w:val="bullet"/>
      <w:start w:val="1"/>
    </w:lvl>
  </w:abstractNum>
  <w:abstractNum w:abstractNumId="2">
    <w:nsid w:val="759F82CD"/>
    <w:multiLevelType w:val="hybridMultilevel"/>
    <w:lvl w:ilvl="0">
      <w:lvlJc w:val="left"/>
      <w:lvlText w:val="•"/>
      <w:numFmt w:val="bullet"/>
      <w:start w:val="1"/>
    </w:lvl>
  </w:abstractNum>
  <w:abstractNum w:abstractNumId="3">
    <w:nsid w:val="61E74EA3"/>
    <w:multiLevelType w:val="hybridMultilevel"/>
    <w:lvl w:ilvl="0">
      <w:lvlJc w:val="left"/>
      <w:lvlText w:val="•"/>
      <w:numFmt w:val="bullet"/>
      <w:start w:val="1"/>
    </w:lvl>
  </w:abstractNum>
  <w:abstractNum w:abstractNumId="4">
    <w:nsid w:val="597B4D84"/>
    <w:multiLevelType w:val="hybridMultilevel"/>
    <w:lvl w:ilvl="0">
      <w:lvlJc w:val="left"/>
      <w:lvlText w:val="•"/>
      <w:numFmt w:val="bullet"/>
      <w:start w:val="1"/>
    </w:lvl>
  </w:abstractNum>
  <w:abstractNum w:abstractNumId="5">
    <w:nsid w:val="F819E7F"/>
    <w:multiLevelType w:val="hybridMultilevel"/>
    <w:lvl w:ilvl="0">
      <w:lvlJc w:val="left"/>
      <w:lvlText w:val="•"/>
      <w:numFmt w:val="bullet"/>
      <w:start w:val="1"/>
    </w:lvl>
  </w:abstractNum>
  <w:abstractNum w:abstractNumId="6">
    <w:nsid w:val="57C7D42D"/>
    <w:multiLevelType w:val="hybridMultilevel"/>
    <w:lvl w:ilvl="0">
      <w:lvlJc w:val="left"/>
      <w:lvlText w:val="(%1)"/>
      <w:numFmt w:val="decimal"/>
      <w:start w:val="1"/>
    </w:lvl>
  </w:abstractNum>
  <w:abstractNum w:abstractNumId="7">
    <w:nsid w:val="312167AD"/>
    <w:multiLevelType w:val="hybridMultilevel"/>
    <w:lvl w:ilvl="0">
      <w:lvlJc w:val="left"/>
      <w:lvlText w:val="•"/>
      <w:numFmt w:val="bullet"/>
      <w:start w:val="1"/>
    </w:lvl>
  </w:abstractNum>
  <w:abstractNum w:abstractNumId="8">
    <w:nsid w:val="631B64D4"/>
    <w:multiLevelType w:val="hybridMultilevel"/>
    <w:lvl w:ilvl="0">
      <w:lvlJc w:val="left"/>
      <w:lvlText w:val="•"/>
      <w:numFmt w:val="bullet"/>
      <w:start w:val="1"/>
    </w:lvl>
  </w:abstractNum>
  <w:abstractNum w:abstractNumId="9">
    <w:nsid w:val="78B5E776"/>
    <w:multiLevelType w:val="hybridMultilevel"/>
    <w:lvl w:ilvl="0">
      <w:lvlJc w:val="left"/>
      <w:lvlText w:val="•"/>
      <w:numFmt w:val="bullet"/>
      <w:start w:val="1"/>
    </w:lvl>
    <w:lvl w:ilvl="1">
      <w:lvlJc w:val="left"/>
      <w:lvlText w:val="(%2)"/>
      <w:numFmt w:val="lowerRoman"/>
      <w:start w:val="2"/>
    </w:lvl>
  </w:abstractNum>
  <w:abstractNum w:abstractNumId="10">
    <w:nsid w:val="75486E47"/>
    <w:multiLevelType w:val="hybridMultilevel"/>
    <w:lvl w:ilvl="0">
      <w:lvlJc w:val="left"/>
      <w:lvlText w:val="(*)"/>
      <w:numFmt w:val="bullet"/>
      <w:start w:val="1"/>
    </w:lvl>
  </w:abstractNum>
  <w:abstractNum w:abstractNumId="11">
    <w:nsid w:val="6E534CDE"/>
    <w:multiLevelType w:val="hybridMultilevel"/>
    <w:lvl w:ilvl="0">
      <w:lvlJc w:val="left"/>
      <w:lvlText w:val="(%1)"/>
      <w:numFmt w:val="decimal"/>
      <w:start w:val="1"/>
    </w:lvl>
  </w:abstractNum>
  <w:abstractNum w:abstractNumId="12">
    <w:nsid w:val="1A0DDE32"/>
    <w:multiLevelType w:val="hybridMultilevel"/>
    <w:lvl w:ilvl="0">
      <w:lvlJc w:val="left"/>
      <w:lvlText w:val="(%1)"/>
      <w:numFmt w:val="decimal"/>
      <w:start w:val="1"/>
    </w:lvl>
  </w:abstractNum>
  <w:abstractNum w:abstractNumId="13">
    <w:nsid w:val="65968C1C"/>
    <w:multiLevelType w:val="hybridMultilevel"/>
    <w:lvl w:ilvl="0">
      <w:lvlJc w:val="left"/>
      <w:lvlText w:val="•"/>
      <w:numFmt w:val="bullet"/>
      <w:start w:val="1"/>
    </w:lvl>
  </w:abstractNum>
  <w:abstractNum w:abstractNumId="14">
    <w:nsid w:val="46263DEC"/>
    <w:multiLevelType w:val="hybridMultilevel"/>
    <w:lvl w:ilvl="0">
      <w:lvlJc w:val="left"/>
      <w:lvlText w:val="•"/>
      <w:numFmt w:val="bullet"/>
      <w:start w:val="1"/>
    </w:lvl>
  </w:abstractNum>
  <w:abstractNum w:abstractNumId="15">
    <w:nsid w:val="260D8C4A"/>
    <w:multiLevelType w:val="hybridMultilevel"/>
    <w:lvl w:ilvl="0">
      <w:lvlJc w:val="left"/>
      <w:lvlText w:val="•"/>
      <w:numFmt w:val="bullet"/>
      <w:start w:val="1"/>
    </w:lvl>
  </w:abstractNum>
  <w:abstractNum w:abstractNumId="16">
    <w:nsid w:val="73D4D3C4"/>
    <w:multiLevelType w:val="hybridMultilevel"/>
    <w:lvl w:ilvl="0">
      <w:lvlJc w:val="left"/>
      <w:lvlText w:val="•"/>
      <w:numFmt w:val="bullet"/>
      <w:start w:val="1"/>
    </w:lvl>
  </w:abstractNum>
  <w:abstractNum w:abstractNumId="17">
    <w:nsid w:val="746F2E30"/>
    <w:multiLevelType w:val="hybridMultilevel"/>
    <w:lvl w:ilvl="0">
      <w:lvlJc w:val="left"/>
      <w:lvlText w:val="(%1)"/>
      <w:numFmt w:val="lowerLetter"/>
      <w:start w:val="4"/>
    </w:lvl>
  </w:abstractNum>
  <w:abstractNum w:abstractNumId="18">
    <w:nsid w:val="6FDE8AF6"/>
    <w:multiLevelType w:val="hybridMultilevel"/>
    <w:lvl w:ilvl="0">
      <w:lvlJc w:val="left"/>
      <w:lvlText w:val="•"/>
      <w:numFmt w:val="bullet"/>
      <w:start w:val="1"/>
    </w:lvl>
  </w:abstractNum>
  <w:abstractNum w:abstractNumId="19">
    <w:nsid w:val="3FC32E20"/>
    <w:multiLevelType w:val="hybridMultilevel"/>
    <w:lvl w:ilvl="0">
      <w:lvlJc w:val="left"/>
      <w:lvlText w:val="(%1)"/>
      <w:numFmt w:val="lowerRoman"/>
      <w:start w:val="2"/>
    </w:lvl>
  </w:abstractNum>
  <w:abstractNum w:abstractNumId="20">
    <w:nsid w:val="49C0E823"/>
    <w:multiLevelType w:val="hybridMultilevel"/>
    <w:lvl w:ilvl="0">
      <w:lvlJc w:val="left"/>
      <w:lvlText w:val="•"/>
      <w:numFmt w:val="bullet"/>
      <w:start w:val="1"/>
    </w:lvl>
  </w:abstractNum>
  <w:abstractNum w:abstractNumId="21">
    <w:nsid w:val="14D53685"/>
    <w:multiLevelType w:val="hybridMultilevel"/>
    <w:lvl w:ilvl="0">
      <w:lvlJc w:val="left"/>
      <w:lvlText w:val="•"/>
      <w:numFmt w:val="bullet"/>
      <w:start w:val="1"/>
    </w:lvl>
  </w:abstractNum>
  <w:abstractNum w:abstractNumId="22">
    <w:nsid w:val="230F856C"/>
    <w:multiLevelType w:val="hybridMultilevel"/>
    <w:lvl w:ilvl="0">
      <w:lvlJc w:val="left"/>
      <w:lvlText w:val="•"/>
      <w:numFmt w:val="bullet"/>
      <w:start w:val="1"/>
    </w:lvl>
  </w:abstractNum>
  <w:abstractNum w:abstractNumId="23">
    <w:nsid w:val="6EAA85FB"/>
    <w:multiLevelType w:val="hybridMultilevel"/>
    <w:lvl w:ilvl="0">
      <w:lvlJc w:val="left"/>
      <w:lvlText w:val="•"/>
      <w:numFmt w:val="bullet"/>
      <w:start w:val="1"/>
    </w:lvl>
  </w:abstractNum>
  <w:abstractNum w:abstractNumId="24">
    <w:nsid w:val="3F06ECB2"/>
    <w:multiLevelType w:val="hybridMultilevel"/>
    <w:lvl w:ilvl="0">
      <w:lvlJc w:val="left"/>
      <w:lvlText w:val="•"/>
      <w:numFmt w:val="bullet"/>
      <w:start w:val="1"/>
    </w:lvl>
  </w:abstractNum>
  <w:abstractNum w:abstractNumId="25">
    <w:nsid w:val="3B594807"/>
    <w:multiLevelType w:val="hybridMultilevel"/>
    <w:lvl w:ilvl="0">
      <w:lvlJc w:val="left"/>
      <w:lvlText w:val="(%1)"/>
      <w:numFmt w:val="decimal"/>
      <w:start w:val="1"/>
    </w:lvl>
  </w:abstractNum>
  <w:abstractNum w:abstractNumId="26">
    <w:nsid w:val="6CAA2304"/>
    <w:multiLevelType w:val="hybridMultilevel"/>
    <w:lvl w:ilvl="0">
      <w:lvlJc w:val="left"/>
      <w:lvlText w:val="•"/>
      <w:numFmt w:val="bullet"/>
      <w:start w:val="1"/>
    </w:lvl>
  </w:abstractNum>
  <w:abstractNum w:abstractNumId="27">
    <w:nsid w:val="3F7C2FF4"/>
    <w:multiLevelType w:val="hybridMultilevel"/>
    <w:lvl w:ilvl="0">
      <w:lvlJc w:val="left"/>
      <w:lvlText w:val="•"/>
      <w:numFmt w:val="bullet"/>
      <w:start w:val="1"/>
    </w:lvl>
  </w:abstractNum>
  <w:abstractNum w:abstractNumId="28">
    <w:nsid w:val="25413BEC"/>
    <w:multiLevelType w:val="hybridMultilevel"/>
    <w:lvl w:ilvl="0">
      <w:lvlJc w:val="left"/>
      <w:lvlText w:val="•"/>
      <w:numFmt w:val="bullet"/>
      <w:start w:val="1"/>
    </w:lvl>
  </w:abstractNum>
  <w:abstractNum w:abstractNumId="29">
    <w:nsid w:val="17180B0B"/>
    <w:multiLevelType w:val="hybridMultilevel"/>
    <w:lvl w:ilvl="0">
      <w:lvlJc w:val="left"/>
      <w:lvlText w:val="(%1)"/>
      <w:numFmt w:val="lowerLetter"/>
      <w:start w:val="1"/>
    </w:lvl>
  </w:abstractNum>
  <w:abstractNum w:abstractNumId="30">
    <w:nsid w:val="579328B9"/>
    <w:multiLevelType w:val="hybridMultilevel"/>
    <w:lvl w:ilvl="0">
      <w:lvlJc w:val="left"/>
      <w:lvlText w:val="(%1)"/>
      <w:numFmt w:val="decimal"/>
      <w:start w:val="1"/>
    </w:lvl>
  </w:abstractNum>
  <w:abstractNum w:abstractNumId="31">
    <w:nsid w:val="5D205E20"/>
    <w:multiLevelType w:val="hybridMultilevel"/>
    <w:lvl w:ilvl="0">
      <w:lvlJc w:val="left"/>
      <w:lvlText w:val="•"/>
      <w:numFmt w:val="bullet"/>
      <w:start w:val="1"/>
    </w:lvl>
  </w:abstractNum>
  <w:abstractNum w:abstractNumId="32">
    <w:nsid w:val="11CCA8BA"/>
    <w:multiLevelType w:val="hybridMultilevel"/>
    <w:lvl w:ilvl="0">
      <w:lvlJc w:val="left"/>
      <w:lvlText w:val="•"/>
      <w:numFmt w:val="bullet"/>
      <w:start w:val="1"/>
    </w:lvl>
  </w:abstractNum>
  <w:abstractNum w:abstractNumId="33">
    <w:nsid w:val="4D32AB86"/>
    <w:multiLevelType w:val="hybridMultilevel"/>
    <w:lvl w:ilvl="0">
      <w:lvlJc w:val="left"/>
      <w:lvlText w:val="•"/>
      <w:numFmt w:val="bullet"/>
      <w:start w:val="1"/>
    </w:lvl>
  </w:abstractNum>
  <w:abstractNum w:abstractNumId="34">
    <w:nsid w:val="3F07ACC3"/>
    <w:multiLevelType w:val="hybridMultilevel"/>
    <w:lvl w:ilvl="0">
      <w:lvlJc w:val="left"/>
      <w:lvlText w:val="(*)"/>
      <w:numFmt w:val="bullet"/>
      <w:start w:val="1"/>
    </w:lvl>
  </w:abstractNum>
  <w:abstractNum w:abstractNumId="35">
    <w:nsid w:val="6B47F63E"/>
    <w:multiLevelType w:val="hybridMultilevel"/>
    <w:lvl w:ilvl="0">
      <w:lvlJc w:val="left"/>
      <w:lvlText w:val="(%1)"/>
      <w:numFmt w:val="decimal"/>
      <w:start w:val="1"/>
    </w:lvl>
  </w:abstractNum>
  <w:abstractNum w:abstractNumId="36">
    <w:nsid w:val="5CB44A05"/>
    <w:multiLevelType w:val="hybridMultilevel"/>
    <w:lvl w:ilvl="0">
      <w:lvlJc w:val="left"/>
      <w:lvlText w:val="(%1)"/>
      <w:numFmt w:val="decimal"/>
      <w:start w:val="1"/>
    </w:lvl>
  </w:abstractNum>
  <w:abstractNum w:abstractNumId="37">
    <w:nsid w:val="16CF80F1"/>
    <w:multiLevelType w:val="hybridMultilevel"/>
    <w:lvl w:ilvl="0">
      <w:lvlJc w:val="left"/>
      <w:lvlText w:val="•"/>
      <w:numFmt w:val="bullet"/>
      <w:start w:val="1"/>
    </w:lvl>
  </w:abstractNum>
  <w:abstractNum w:abstractNumId="38">
    <w:nsid w:val="1C695DEC"/>
    <w:multiLevelType w:val="hybridMultilevel"/>
    <w:lvl w:ilvl="0">
      <w:lvlJc w:val="left"/>
      <w:lvlText w:val="(%1)"/>
      <w:numFmt w:val="decimal"/>
      <w:start w:val="1"/>
    </w:lvl>
  </w:abstractNum>
  <w:abstractNum w:abstractNumId="39">
    <w:nsid w:val="3FCFAED9"/>
    <w:multiLevelType w:val="hybridMultilevel"/>
    <w:lvl w:ilvl="0">
      <w:lvlJc w:val="left"/>
      <w:lvlText w:val="(%1)"/>
      <w:numFmt w:val="lowerRoman"/>
      <w:start w:val="1"/>
    </w:lvl>
  </w:abstractNum>
  <w:abstractNum w:abstractNumId="40">
    <w:nsid w:val="F856867"/>
    <w:multiLevelType w:val="hybridMultilevel"/>
    <w:lvl w:ilvl="0">
      <w:lvlJc w:val="left"/>
      <w:lvlText w:val="(%1)"/>
      <w:numFmt w:val="lowerRoman"/>
      <w:start w:val="2"/>
    </w:lvl>
  </w:abstractNum>
  <w:abstractNum w:abstractNumId="41">
    <w:nsid w:val="11B1CC33"/>
    <w:multiLevelType w:val="hybridMultilevel"/>
    <w:lvl w:ilvl="0">
      <w:lvlJc w:val="left"/>
      <w:lvlText w:val="•"/>
      <w:numFmt w:val="bullet"/>
      <w:start w:val="1"/>
    </w:lvl>
  </w:abstractNum>
  <w:abstractNum w:abstractNumId="42">
    <w:nsid w:val="2E22FBB7"/>
    <w:multiLevelType w:val="hybridMultilevel"/>
    <w:lvl w:ilvl="0">
      <w:lvlJc w:val="left"/>
      <w:lvlText w:val="•"/>
      <w:numFmt w:val="bullet"/>
      <w:start w:val="1"/>
    </w:lvl>
  </w:abstractNum>
  <w:abstractNum w:abstractNumId="43">
    <w:nsid w:val="29934699"/>
    <w:multiLevelType w:val="hybridMultilevel"/>
    <w:lvl w:ilvl="0">
      <w:lvlJc w:val="left"/>
      <w:lvlText w:val="•"/>
      <w:numFmt w:val="bullet"/>
      <w:start w:val="1"/>
    </w:lvl>
  </w:abstractNum>
  <w:abstractNum w:abstractNumId="44">
    <w:nsid w:val="77485850"/>
    <w:multiLevelType w:val="hybridMultilevel"/>
    <w:lvl w:ilvl="0">
      <w:lvlJc w:val="left"/>
      <w:lvlText w:val="•"/>
      <w:numFmt w:val="bullet"/>
      <w:start w:val="1"/>
    </w:lvl>
  </w:abstractNum>
  <w:abstractNum w:abstractNumId="45">
    <w:nsid w:val="744939A3"/>
    <w:multiLevelType w:val="hybridMultilevel"/>
    <w:lvl w:ilvl="0">
      <w:lvlJc w:val="left"/>
      <w:lvlText w:val="•"/>
      <w:numFmt w:val="bullet"/>
      <w:start w:val="1"/>
    </w:lvl>
  </w:abstractNum>
  <w:abstractNum w:abstractNumId="46">
    <w:nsid w:val="4FA0D2E3"/>
    <w:multiLevelType w:val="hybridMultilevel"/>
    <w:lvl w:ilvl="0">
      <w:lvlJc w:val="left"/>
      <w:lvlText w:val="•"/>
      <w:numFmt w:val="bullet"/>
      <w:start w:val="1"/>
    </w:lvl>
  </w:abstractNum>
  <w:abstractNum w:abstractNumId="47">
    <w:nsid w:val="6B1D2C14"/>
    <w:multiLevelType w:val="hybridMultilevel"/>
    <w:lvl w:ilvl="0">
      <w:lvlJc w:val="left"/>
      <w:lvlText w:val="•"/>
      <w:numFmt w:val="bullet"/>
      <w:start w:val="1"/>
    </w:lvl>
  </w:abstractNum>
  <w:abstractNum w:abstractNumId="48">
    <w:nsid w:val="68B867D3"/>
    <w:multiLevelType w:val="hybridMultilevel"/>
    <w:lvl w:ilvl="0">
      <w:lvlJc w:val="left"/>
      <w:lvlText w:val="•"/>
      <w:numFmt w:val="bullet"/>
      <w:start w:val="1"/>
    </w:lvl>
  </w:abstractNum>
  <w:abstractNum w:abstractNumId="49">
    <w:nsid w:val="3F7F5DD9"/>
    <w:multiLevelType w:val="hybridMultilevel"/>
    <w:lvl w:ilvl="0">
      <w:lvlJc w:val="left"/>
      <w:lvlText w:val="•"/>
      <w:numFmt w:val="bullet"/>
      <w:start w:val="1"/>
    </w:lvl>
  </w:abstractNum>
  <w:abstractNum w:abstractNumId="50">
    <w:nsid w:val="2AE05A34"/>
    <w:multiLevelType w:val="hybridMultilevel"/>
    <w:lvl w:ilvl="0">
      <w:lvlJc w:val="left"/>
      <w:lvlText w:val="*"/>
      <w:numFmt w:val="bullet"/>
      <w:start w:val="1"/>
    </w:lvl>
  </w:abstractNum>
  <w:abstractNum w:abstractNumId="51">
    <w:nsid w:val="32794FF7"/>
    <w:multiLevelType w:val="hybridMultilevel"/>
    <w:lvl w:ilvl="0">
      <w:lvlJc w:val="left"/>
      <w:lvlText w:val="†"/>
      <w:numFmt w:val="bullet"/>
      <w:start w:val="1"/>
    </w:lvl>
  </w:abstractNum>
  <w:abstractNum w:abstractNumId="52">
    <w:nsid w:val="5454945E"/>
    <w:multiLevelType w:val="hybridMultilevel"/>
    <w:lvl w:ilvl="0">
      <w:lvlJc w:val="left"/>
      <w:lvlText w:val="•"/>
      <w:numFmt w:val="bullet"/>
      <w:start w:val="1"/>
    </w:lvl>
  </w:abstractNum>
  <w:abstractNum w:abstractNumId="53">
    <w:nsid w:val="4DEFDFA0"/>
    <w:multiLevelType w:val="hybridMultilevel"/>
    <w:lvl w:ilvl="0">
      <w:lvlJc w:val="left"/>
      <w:lvlText w:val="•"/>
      <w:numFmt w:val="bullet"/>
      <w:start w:val="1"/>
    </w:lvl>
  </w:abstractNum>
  <w:abstractNum w:abstractNumId="54">
    <w:nsid w:val="2123D5F2"/>
    <w:multiLevelType w:val="hybridMultilevel"/>
    <w:lvl w:ilvl="0">
      <w:lvlJc w:val="left"/>
      <w:lvlText w:val="•"/>
      <w:numFmt w:val="bullet"/>
      <w:start w:val="1"/>
    </w:lvl>
  </w:abstractNum>
  <w:abstractNum w:abstractNumId="55">
    <w:nsid w:val="135B8110"/>
    <w:multiLevelType w:val="hybridMultilevel"/>
    <w:lvl w:ilvl="0">
      <w:lvlJc w:val="left"/>
      <w:lvlText w:val="•"/>
      <w:numFmt w:val="bullet"/>
      <w:start w:val="1"/>
    </w:lvl>
  </w:abstractNum>
  <w:abstractNum w:abstractNumId="56">
    <w:nsid w:val="94927A8"/>
    <w:multiLevelType w:val="hybridMultilevel"/>
    <w:lvl w:ilvl="0">
      <w:lvlJc w:val="left"/>
      <w:lvlText w:val="•"/>
      <w:numFmt w:val="bullet"/>
      <w:start w:val="1"/>
    </w:lvl>
  </w:abstractNum>
  <w:abstractNum w:abstractNumId="57">
    <w:nsid w:val="DCDF8F6"/>
    <w:multiLevelType w:val="hybridMultilevel"/>
    <w:lvl w:ilvl="0">
      <w:lvlJc w:val="left"/>
      <w:lvlText w:val="(%1)"/>
      <w:numFmt w:val="lowerRoman"/>
      <w:start w:val="3"/>
    </w:lvl>
  </w:abstractNum>
  <w:abstractNum w:abstractNumId="58">
    <w:nsid w:val="52D7B105"/>
    <w:multiLevelType w:val="hybridMultilevel"/>
    <w:lvl w:ilvl="0">
      <w:lvlJc w:val="left"/>
      <w:lvlText w:val="•"/>
      <w:numFmt w:val="bullet"/>
      <w:start w:val="1"/>
    </w:lvl>
  </w:abstractNum>
  <w:abstractNum w:abstractNumId="59">
    <w:nsid w:val="2E8A6394"/>
    <w:multiLevelType w:val="hybridMultilevel"/>
    <w:lvl w:ilvl="0">
      <w:lvlJc w:val="left"/>
      <w:lvlText w:val="(%1)"/>
      <w:numFmt w:val="lowerRoman"/>
      <w:start w:val="2"/>
    </w:lvl>
  </w:abstractNum>
  <w:abstractNum w:abstractNumId="60">
    <w:nsid w:val="24E60401"/>
    <w:multiLevelType w:val="hybridMultilevel"/>
    <w:lvl w:ilvl="0">
      <w:lvlJc w:val="left"/>
      <w:lvlText w:val="*"/>
      <w:numFmt w:val="bullet"/>
      <w:start w:val="1"/>
    </w:lvl>
  </w:abstractNum>
  <w:abstractNum w:abstractNumId="61">
    <w:nsid w:val="2A6AD9BE"/>
    <w:multiLevelType w:val="hybridMultilevel"/>
    <w:lvl w:ilvl="0">
      <w:lvlJc w:val="left"/>
      <w:lvlText w:val="**"/>
      <w:numFmt w:val="bullet"/>
      <w:start w:val="1"/>
    </w:lvl>
  </w:abstractNum>
  <w:abstractNum w:abstractNumId="62">
    <w:nsid w:val="BAAC1B4"/>
    <w:multiLevelType w:val="hybridMultilevel"/>
    <w:lvl w:ilvl="0">
      <w:lvlJc w:val="left"/>
      <w:lvlText w:val="***"/>
      <w:numFmt w:val="bullet"/>
      <w:start w:val="1"/>
    </w:lvl>
  </w:abstractNum>
  <w:abstractNum w:abstractNumId="63">
    <w:nsid w:val="36B2ACBC"/>
    <w:multiLevelType w:val="hybridMultilevel"/>
    <w:lvl w:ilvl="0">
      <w:lvlJc w:val="left"/>
      <w:lvlText w:val="†"/>
      <w:numFmt w:val="bullet"/>
      <w:start w:val="1"/>
    </w:lvl>
  </w:abstractNum>
  <w:abstractNum w:abstractNumId="64">
    <w:nsid w:val="779D8544"/>
    <w:multiLevelType w:val="hybridMultilevel"/>
    <w:lvl w:ilvl="0">
      <w:lvlJc w:val="left"/>
      <w:lvlText w:val="††"/>
      <w:numFmt w:val="bullet"/>
      <w:start w:val="1"/>
    </w:lvl>
  </w:abstractNum>
  <w:abstractNum w:abstractNumId="65">
    <w:nsid w:val="4AB26E78"/>
    <w:multiLevelType w:val="hybridMultilevel"/>
    <w:lvl w:ilvl="0">
      <w:lvlJc w:val="left"/>
      <w:lvlText w:val="†††"/>
      <w:numFmt w:val="bullet"/>
      <w:start w:val="1"/>
    </w:lvl>
  </w:abstractNum>
  <w:abstractNum w:abstractNumId="66">
    <w:nsid w:val="21FAA2FA"/>
    <w:multiLevelType w:val="hybridMultilevel"/>
    <w:lvl w:ilvl="0">
      <w:lvlJc w:val="left"/>
      <w:lvlText w:val="(%1)"/>
      <w:numFmt w:val="decimal"/>
      <w:start w:val="1"/>
    </w:lvl>
  </w:abstractNum>
  <w:abstractNum w:abstractNumId="67">
    <w:nsid w:val="5451CF49"/>
    <w:multiLevelType w:val="hybridMultilevel"/>
    <w:lvl w:ilvl="0">
      <w:lvlJc w:val="left"/>
      <w:lvlText w:val="(%1)"/>
      <w:numFmt w:val="decimal"/>
      <w:start w:val="11"/>
    </w:lvl>
  </w:abstractNum>
  <w:abstractNum w:abstractNumId="68">
    <w:nsid w:val="6181EF69"/>
    <w:multiLevelType w:val="hybridMultilevel"/>
    <w:lvl w:ilvl="0">
      <w:lvlJc w:val="left"/>
      <w:lvlText w:val="•"/>
      <w:numFmt w:val="bullet"/>
      <w:start w:val="1"/>
    </w:lvl>
  </w:abstractNum>
  <w:abstractNum w:abstractNumId="69">
    <w:nsid w:val="3E6400E6"/>
    <w:multiLevelType w:val="hybridMultilevel"/>
    <w:lvl w:ilvl="0">
      <w:lvlJc w:val="left"/>
      <w:lvlText w:val="•"/>
      <w:numFmt w:val="bullet"/>
      <w:start w:val="1"/>
    </w:lvl>
  </w:abstractNum>
  <w:abstractNum w:abstractNumId="70">
    <w:nsid w:val="14217E23"/>
    <w:multiLevelType w:val="hybridMultilevel"/>
    <w:lvl w:ilvl="0">
      <w:lvlJc w:val="left"/>
      <w:lvlText w:val="•"/>
      <w:numFmt w:val="bullet"/>
      <w:start w:val="1"/>
    </w:lvl>
  </w:abstractNum>
  <w:abstractNum w:abstractNumId="71">
    <w:nsid w:val="710757D0"/>
    <w:multiLevelType w:val="hybridMultilevel"/>
    <w:lvl w:ilvl="0">
      <w:lvlJc w:val="left"/>
      <w:lvlText w:val="•"/>
      <w:numFmt w:val="bullet"/>
      <w:start w:val="1"/>
    </w:lvl>
  </w:abstractNum>
  <w:abstractNum w:abstractNumId="72">
    <w:nsid w:val="5015CD1A"/>
    <w:multiLevelType w:val="hybridMultilevel"/>
    <w:lvl w:ilvl="0">
      <w:lvlJc w:val="left"/>
      <w:lvlText w:val="•"/>
      <w:numFmt w:val="bullet"/>
      <w:start w:val="1"/>
    </w:lvl>
  </w:abstractNum>
  <w:abstractNum w:abstractNumId="73">
    <w:nsid w:val="424479DA"/>
    <w:multiLevelType w:val="hybridMultilevel"/>
    <w:lvl w:ilvl="0">
      <w:lvlJc w:val="left"/>
      <w:lvlText w:val="•"/>
      <w:numFmt w:val="bullet"/>
      <w:start w:val="1"/>
    </w:lvl>
  </w:abstractNum>
  <w:abstractNum w:abstractNumId="74">
    <w:nsid w:val="1A9A9E69"/>
    <w:multiLevelType w:val="hybridMultilevel"/>
    <w:lvl w:ilvl="0">
      <w:lvlJc w:val="left"/>
      <w:lvlText w:val="•"/>
      <w:numFmt w:val="bullet"/>
      <w:start w:val="1"/>
    </w:lvl>
  </w:abstractNum>
  <w:abstractNum w:abstractNumId="75">
    <w:nsid w:val="475E256A"/>
    <w:multiLevelType w:val="hybridMultilevel"/>
    <w:lvl w:ilvl="0">
      <w:lvlJc w:val="left"/>
      <w:lvlText w:val="%1)"/>
      <w:numFmt w:val="lowerLetter"/>
      <w:start w:val="1"/>
    </w:lvl>
  </w:abstractNum>
  <w:abstractNum w:abstractNumId="76">
    <w:nsid w:val="368DB37E"/>
    <w:multiLevelType w:val="hybridMultilevel"/>
    <w:lvl w:ilvl="0">
      <w:lvlJc w:val="left"/>
      <w:lvlText w:val="(%1)"/>
      <w:numFmt w:val="lowerRoman"/>
      <w:start w:val="1"/>
    </w:lvl>
  </w:abstractNum>
  <w:abstractNum w:abstractNumId="77">
    <w:nsid w:val="6A3B714C"/>
    <w:multiLevelType w:val="hybridMultilevel"/>
    <w:lvl w:ilvl="0">
      <w:lvlJc w:val="left"/>
      <w:lvlText w:val="•"/>
      <w:numFmt w:val="bullet"/>
      <w:start w:val="1"/>
    </w:lvl>
  </w:abstractNum>
  <w:abstractNum w:abstractNumId="78">
    <w:nsid w:val="327B517E"/>
    <w:multiLevelType w:val="hybridMultilevel"/>
    <w:lvl w:ilvl="0">
      <w:lvlJc w:val="left"/>
      <w:lvlText w:val="•"/>
      <w:numFmt w:val="bullet"/>
      <w:start w:val="1"/>
    </w:lvl>
  </w:abstractNum>
  <w:abstractNum w:abstractNumId="79">
    <w:nsid w:val="1F461B51"/>
    <w:multiLevelType w:val="hybridMultilevel"/>
    <w:lvl w:ilvl="0">
      <w:lvlJc w:val="left"/>
      <w:lvlText w:val="•"/>
      <w:numFmt w:val="bullet"/>
      <w:start w:val="1"/>
    </w:lvl>
  </w:abstractNum>
  <w:abstractNum w:abstractNumId="80">
    <w:nsid w:val="29BACF25"/>
    <w:multiLevelType w:val="hybridMultilevel"/>
    <w:lvl w:ilvl="0">
      <w:lvlJc w:val="left"/>
      <w:lvlText w:val="•"/>
      <w:numFmt w:val="bullet"/>
      <w:start w:val="1"/>
    </w:lvl>
  </w:abstractNum>
  <w:abstractNum w:abstractNumId="81">
    <w:nsid w:val="5D5BABB3"/>
    <w:multiLevelType w:val="hybridMultilevel"/>
    <w:lvl w:ilvl="0">
      <w:lvlJc w:val="left"/>
      <w:lvlText w:val="•"/>
      <w:numFmt w:val="bullet"/>
      <w:start w:val="1"/>
    </w:lvl>
  </w:abstractNum>
  <w:abstractNum w:abstractNumId="82">
    <w:nsid w:val="51BF6B48"/>
    <w:multiLevelType w:val="hybridMultilevel"/>
    <w:lvl w:ilvl="0">
      <w:lvlJc w:val="left"/>
      <w:lvlText w:val="•"/>
      <w:numFmt w:val="bullet"/>
      <w:start w:val="1"/>
    </w:lvl>
  </w:abstractNum>
  <w:abstractNum w:abstractNumId="83">
    <w:nsid w:val="7E0F6384"/>
    <w:multiLevelType w:val="hybridMultilevel"/>
    <w:lvl w:ilvl="0">
      <w:lvlJc w:val="left"/>
      <w:lvlText w:val="•"/>
      <w:numFmt w:val="bullet"/>
      <w:start w:val="1"/>
    </w:lvl>
  </w:abstractNum>
  <w:abstractNum w:abstractNumId="84">
    <w:nsid w:val="2B4B8B53"/>
    <w:multiLevelType w:val="hybridMultilevel"/>
    <w:lvl w:ilvl="0">
      <w:lvlJc w:val="left"/>
      <w:lvlText w:val="•"/>
      <w:numFmt w:val="bullet"/>
      <w:start w:val="1"/>
    </w:lvl>
  </w:abstractNum>
  <w:abstractNum w:abstractNumId="85">
    <w:nsid w:val="72E3413A"/>
    <w:multiLevelType w:val="hybridMultilevel"/>
    <w:lvl w:ilvl="0">
      <w:lvlJc w:val="left"/>
      <w:lvlText w:val="•"/>
      <w:numFmt w:val="bullet"/>
      <w:start w:val="1"/>
    </w:lvl>
  </w:abstractNum>
  <w:abstractNum w:abstractNumId="86">
    <w:nsid w:val="116AE494"/>
    <w:multiLevelType w:val="hybridMultilevel"/>
    <w:lvl w:ilvl="0">
      <w:lvlJc w:val="left"/>
      <w:lvlText w:val="•"/>
      <w:numFmt w:val="bullet"/>
      <w:start w:val="1"/>
    </w:lvl>
  </w:abstractNum>
  <w:abstractNum w:abstractNumId="87">
    <w:nsid w:val="3494B2FB"/>
    <w:multiLevelType w:val="hybridMultilevel"/>
    <w:lvl w:ilvl="0">
      <w:lvlJc w:val="left"/>
      <w:lvlText w:val="•"/>
      <w:numFmt w:val="bullet"/>
      <w:start w:val="1"/>
    </w:lvl>
  </w:abstractNum>
  <w:abstractNum w:abstractNumId="88">
    <w:nsid w:val="B13A31"/>
    <w:multiLevelType w:val="hybridMultilevel"/>
    <w:lvl w:ilvl="0">
      <w:lvlJc w:val="left"/>
      <w:lvlText w:val="•"/>
      <w:numFmt w:val="bullet"/>
      <w:start w:val="1"/>
    </w:lvl>
  </w:abstractNum>
  <w:abstractNum w:abstractNumId="89">
    <w:nsid w:val="64429599"/>
    <w:multiLevelType w:val="hybridMultilevel"/>
    <w:lvl w:ilvl="0">
      <w:lvlJc w:val="left"/>
      <w:lvlText w:val="•"/>
      <w:numFmt w:val="bullet"/>
      <w:start w:val="1"/>
    </w:lvl>
  </w:abstractNum>
  <w:abstractNum w:abstractNumId="90">
    <w:nsid w:val="631F1690"/>
    <w:multiLevelType w:val="hybridMultilevel"/>
    <w:lvl w:ilvl="0">
      <w:lvlJc w:val="left"/>
      <w:lvlText w:val="•"/>
      <w:numFmt w:val="bullet"/>
      <w:start w:val="1"/>
    </w:lvl>
  </w:abstractNum>
  <w:abstractNum w:abstractNumId="91">
    <w:nsid w:val="25973E32"/>
    <w:multiLevelType w:val="hybridMultilevel"/>
    <w:lvl w:ilvl="0">
      <w:lvlJc w:val="left"/>
      <w:lvlText w:val="•"/>
      <w:numFmt w:val="bullet"/>
      <w:start w:val="1"/>
    </w:lvl>
  </w:abstractNum>
  <w:abstractNum w:abstractNumId="92">
    <w:nsid w:val="EAD6F57"/>
    <w:multiLevelType w:val="hybridMultilevel"/>
    <w:lvl w:ilvl="0">
      <w:lvlJc w:val="left"/>
      <w:lvlText w:val="•"/>
      <w:numFmt w:val="bullet"/>
      <w:start w:val="1"/>
    </w:lvl>
  </w:abstractNum>
  <w:abstractNum w:abstractNumId="93">
    <w:nsid w:val="6EC9D844"/>
    <w:multiLevelType w:val="hybridMultilevel"/>
    <w:lvl w:ilvl="0">
      <w:lvlJc w:val="left"/>
      <w:lvlText w:val="(%1)"/>
      <w:numFmt w:val="lowerRoman"/>
      <w:start w:val="1"/>
    </w:lvl>
  </w:abstractNum>
  <w:abstractNum w:abstractNumId="94">
    <w:nsid w:val="5C49EAEE"/>
    <w:multiLevelType w:val="hybridMultilevel"/>
    <w:lvl w:ilvl="0">
      <w:lvlJc w:val="left"/>
      <w:lvlText w:val="•"/>
      <w:numFmt w:val="bullet"/>
      <w:start w:val="1"/>
    </w:lvl>
  </w:abstractNum>
  <w:abstractNum w:abstractNumId="95">
    <w:nsid w:val="64AF49B"/>
    <w:multiLevelType w:val="hybridMultilevel"/>
    <w:lvl w:ilvl="0">
      <w:lvlJc w:val="left"/>
      <w:lvlText w:val="(%1)"/>
      <w:numFmt w:val="lowerLetter"/>
      <w:start w:val="1"/>
    </w:lvl>
  </w:abstractNum>
  <w:abstractNum w:abstractNumId="96">
    <w:nsid w:val="397C46BC"/>
    <w:multiLevelType w:val="hybridMultilevel"/>
    <w:lvl w:ilvl="0">
      <w:lvlJc w:val="left"/>
      <w:lvlText w:val="•"/>
      <w:numFmt w:val="bullet"/>
      <w:start w:val="1"/>
    </w:lvl>
  </w:abstractNum>
  <w:abstractNum w:abstractNumId="97">
    <w:nsid w:val="7E448DE9"/>
    <w:multiLevelType w:val="hybridMultilevel"/>
    <w:lvl w:ilvl="0">
      <w:lvlJc w:val="left"/>
      <w:lvlText w:val="•"/>
      <w:numFmt w:val="bullet"/>
      <w:start w:val="1"/>
    </w:lvl>
  </w:abstractNum>
  <w:abstractNum w:abstractNumId="98">
    <w:nsid w:val="5A9CC3E5"/>
    <w:multiLevelType w:val="hybridMultilevel"/>
    <w:lvl w:ilvl="0">
      <w:lvlJc w:val="left"/>
      <w:lvlText w:val="•"/>
      <w:numFmt w:val="bullet"/>
      <w:start w:val="1"/>
    </w:lvl>
  </w:abstractNum>
  <w:abstractNum w:abstractNumId="99">
    <w:nsid w:val="1AFE3625"/>
    <w:multiLevelType w:val="hybridMultilevel"/>
    <w:lvl w:ilvl="0">
      <w:lvlJc w:val="left"/>
      <w:lvlText w:val="•"/>
      <w:numFmt w:val="bullet"/>
      <w:start w:val="1"/>
    </w:lvl>
  </w:abstractNum>
  <w:abstractNum w:abstractNumId="100">
    <w:nsid w:val="3CA88ECF"/>
    <w:multiLevelType w:val="hybridMultilevel"/>
    <w:lvl w:ilvl="0">
      <w:lvlJc w:val="left"/>
      <w:lvlText w:val="(%1)"/>
      <w:numFmt w:val="lowerLetter"/>
      <w:start w:val="1"/>
    </w:lvl>
  </w:abstractNum>
  <w:abstractNum w:abstractNumId="101">
    <w:nsid w:val="6EBE4208"/>
    <w:multiLevelType w:val="hybridMultilevel"/>
    <w:lvl w:ilvl="0">
      <w:lvlJc w:val="left"/>
      <w:lvlText w:val="(%1)"/>
      <w:numFmt w:val="lowerLetter"/>
      <w:start w:val="1"/>
    </w:lvl>
  </w:abstractNum>
  <w:abstractNum w:abstractNumId="102">
    <w:nsid w:val="C058DF5"/>
    <w:multiLevelType w:val="hybridMultilevel"/>
    <w:lvl w:ilvl="0">
      <w:lvlJc w:val="left"/>
      <w:lvlText w:val="%1."/>
      <w:numFmt w:val="decimal"/>
      <w:start w:val="1"/>
    </w:lvl>
  </w:abstractNum>
  <w:abstractNum w:abstractNumId="103">
    <w:nsid w:val="CBE5BE9"/>
    <w:multiLevelType w:val="hybridMultilevel"/>
    <w:lvl w:ilvl="0">
      <w:lvlJc w:val="left"/>
      <w:lvlText w:val="*"/>
      <w:numFmt w:val="bullet"/>
      <w:start w:val="1"/>
    </w:lvl>
  </w:abstractNum>
  <w:abstractNum w:abstractNumId="104">
    <w:nsid w:val="3102BBE2"/>
    <w:multiLevelType w:val="hybridMultilevel"/>
    <w:lvl w:ilvl="0">
      <w:lvlJc w:val="left"/>
      <w:lvlText w:val="%1."/>
      <w:numFmt w:val="decimal"/>
      <w:start w:val="1"/>
    </w:lvl>
  </w:abstractNum>
  <w:abstractNum w:abstractNumId="105">
    <w:nsid w:val="26A02C5E"/>
    <w:multiLevelType w:val="hybridMultilevel"/>
    <w:lvl w:ilvl="0">
      <w:lvlJc w:val="left"/>
      <w:lvlText w:val="(%1)"/>
      <w:numFmt w:val="decimal"/>
      <w:start w:val="1"/>
    </w:lvl>
  </w:abstractNum>
  <w:abstractNum w:abstractNumId="106">
    <w:nsid w:val="541C8153"/>
    <w:multiLevelType w:val="hybridMultilevel"/>
    <w:lvl w:ilvl="0">
      <w:lvlJc w:val="left"/>
      <w:lvlText w:val="%1."/>
      <w:numFmt w:val="decimal"/>
      <w:start w:val="1"/>
    </w:lvl>
    <w:lvl w:ilvl="1">
      <w:lvlJc w:val="left"/>
      <w:lvlText w:val="(%2)"/>
      <w:numFmt w:val="decimal"/>
      <w:start w:val="1"/>
    </w:lvl>
  </w:abstractNum>
  <w:abstractNum w:abstractNumId="107">
    <w:nsid w:val="67906F60"/>
    <w:multiLevelType w:val="hybridMultilevel"/>
    <w:lvl w:ilvl="0">
      <w:lvlJc w:val="left"/>
      <w:lvlText w:val="(%1)"/>
      <w:numFmt w:val="decimal"/>
      <w:start w:val="2"/>
    </w:lvl>
  </w:abstractNum>
  <w:abstractNum w:abstractNumId="108">
    <w:nsid w:val="10DB9DAA"/>
    <w:multiLevelType w:val="hybridMultilevel"/>
    <w:lvl w:ilvl="0">
      <w:lvlJc w:val="left"/>
      <w:lvlText w:val="(%1)"/>
      <w:numFmt w:val="decimal"/>
      <w:start w:val="1"/>
    </w:lvl>
  </w:abstractNum>
  <w:abstractNum w:abstractNumId="109">
    <w:nsid w:val="697D2D2"/>
    <w:multiLevelType w:val="hybridMultilevel"/>
    <w:lvl w:ilvl="0">
      <w:lvlJc w:val="left"/>
      <w:lvlText w:val="%1."/>
      <w:numFmt w:val="decimal"/>
      <w:start w:val="1"/>
    </w:lvl>
    <w:lvl w:ilvl="1">
      <w:lvlJc w:val="left"/>
      <w:lvlText w:val="(%2)"/>
      <w:numFmt w:val="decimal"/>
      <w:start w:val="1"/>
    </w:lvl>
  </w:abstractNum>
  <w:abstractNum w:abstractNumId="110">
    <w:nsid w:val="6D68AB2"/>
    <w:multiLevelType w:val="hybridMultilevel"/>
    <w:lvl w:ilvl="0">
      <w:lvlJc w:val="left"/>
      <w:lvlText w:val="(%1)"/>
      <w:numFmt w:val="decimal"/>
      <w:start w:val="2"/>
    </w:lvl>
  </w:abstractNum>
  <w:abstractNum w:abstractNumId="111">
    <w:nsid w:val="3A966CD0"/>
    <w:multiLevelType w:val="hybridMultilevel"/>
    <w:lvl w:ilvl="0">
      <w:lvlJc w:val="left"/>
      <w:lvlText w:val="(%1)"/>
      <w:numFmt w:val="decimal"/>
      <w:start w:val="3"/>
    </w:lvl>
  </w:abstractNum>
  <w:abstractNum w:abstractNumId="112">
    <w:nsid w:val="63F37E85"/>
    <w:multiLevelType w:val="hybridMultilevel"/>
    <w:lvl w:ilvl="0">
      <w:lvlJc w:val="left"/>
      <w:lvlText w:val="%1."/>
      <w:numFmt w:val="decimal"/>
      <w:start w:val="1"/>
    </w:lvl>
    <w:lvl w:ilvl="1">
      <w:lvlJc w:val="left"/>
      <w:lvlText w:val="(%2)"/>
      <w:numFmt w:val="decimal"/>
      <w:start w:val="3"/>
    </w:lvl>
  </w:abstractNum>
  <w:abstractNum w:abstractNumId="113">
    <w:nsid w:val="5895F5FA"/>
    <w:multiLevelType w:val="hybridMultilevel"/>
    <w:lvl w:ilvl="0">
      <w:lvlJc w:val="left"/>
      <w:lvlText w:val="•"/>
      <w:numFmt w:val="bullet"/>
      <w:start w:val="1"/>
    </w:lvl>
  </w:abstractNum>
  <w:abstractNum w:abstractNumId="114">
    <w:nsid w:val="38A5D054"/>
    <w:multiLevelType w:val="hybridMultilevel"/>
    <w:lvl w:ilvl="0">
      <w:lvlJc w:val="left"/>
      <w:lvlText w:val="%1."/>
      <w:numFmt w:val="decimal"/>
      <w:start w:val="1"/>
    </w:lvl>
    <w:lvl w:ilvl="1">
      <w:lvlJc w:val="left"/>
      <w:lvlText w:val="•"/>
      <w:numFmt w:val="bullet"/>
      <w:start w:val="1"/>
    </w:lvl>
  </w:abstractNum>
  <w:abstractNum w:abstractNumId="115">
    <w:nsid w:val="F3F09D8"/>
    <w:multiLevelType w:val="hybridMultilevel"/>
    <w:lvl w:ilvl="0">
      <w:lvlJc w:val="left"/>
      <w:lvlText w:val="%1."/>
      <w:numFmt w:val="decimal"/>
      <w:start w:val="1"/>
    </w:lvl>
  </w:abstractNum>
  <w:abstractNum w:abstractNumId="116">
    <w:nsid w:val="4B793735"/>
    <w:multiLevelType w:val="hybridMultilevel"/>
    <w:lvl w:ilvl="0">
      <w:lvlJc w:val="left"/>
      <w:lvlText w:val="%1."/>
      <w:numFmt w:val="decimal"/>
      <w:start w:val="2"/>
    </w:lvl>
  </w:abstractNum>
  <w:abstractNum w:abstractNumId="117">
    <w:nsid w:val="4A10B4E8"/>
    <w:multiLevelType w:val="hybridMultilevel"/>
    <w:lvl w:ilvl="0">
      <w:lvlJc w:val="left"/>
      <w:lvlText w:val="%1."/>
      <w:numFmt w:val="decimal"/>
      <w:start w:val="2"/>
    </w:lvl>
  </w:abstractNum>
  <w:abstractNum w:abstractNumId="118">
    <w:nsid w:val="43D3BCD4"/>
    <w:multiLevelType w:val="hybridMultilevel"/>
    <w:lvl w:ilvl="0">
      <w:lvlJc w:val="left"/>
      <w:lvlText w:val="%1."/>
      <w:numFmt w:val="decimal"/>
      <w:start w:val="2"/>
    </w:lvl>
  </w:abstractNum>
  <w:abstractNum w:abstractNumId="119">
    <w:nsid w:val="4C2A7166"/>
    <w:multiLevelType w:val="hybridMultilevel"/>
    <w:lvl w:ilvl="0">
      <w:lvlJc w:val="left"/>
      <w:lvlText w:val="(%1)"/>
      <w:numFmt w:val="lowerLetter"/>
      <w:start w:val="1"/>
    </w:lvl>
  </w:abstractNum>
  <w:abstractNum w:abstractNumId="120">
    <w:nsid w:val="2E534A82"/>
    <w:multiLevelType w:val="hybridMultilevel"/>
    <w:lvl w:ilvl="0">
      <w:lvlJc w:val="left"/>
      <w:lvlText w:val="%1."/>
      <w:numFmt w:val="decimal"/>
      <w:start w:val="2"/>
    </w:lvl>
  </w:abstractNum>
  <w:abstractNum w:abstractNumId="121">
    <w:nsid w:val="26F2D364"/>
    <w:multiLevelType w:val="hybridMultilevel"/>
    <w:lvl w:ilvl="0">
      <w:lvlJc w:val="left"/>
      <w:lvlText w:val="(%1)"/>
      <w:numFmt w:val="lowerLetter"/>
      <w:start w:val="2"/>
    </w:lvl>
  </w:abstractNum>
  <w:abstractNum w:abstractNumId="122">
    <w:nsid w:val="71C1AF98"/>
    <w:multiLevelType w:val="hybridMultilevel"/>
    <w:lvl w:ilvl="0">
      <w:lvlJc w:val="left"/>
      <w:lvlText w:val="(%1)"/>
      <w:numFmt w:val="lowerLetter"/>
      <w:start w:val="3"/>
    </w:lvl>
  </w:abstractNum>
  <w:abstractNum w:abstractNumId="123">
    <w:nsid w:val="3D00B9D9"/>
    <w:multiLevelType w:val="hybridMultilevel"/>
    <w:lvl w:ilvl="0">
      <w:lvlJc w:val="left"/>
      <w:lvlText w:val="%1."/>
      <w:numFmt w:val="decimal"/>
      <w:start w:val="2"/>
    </w:lvl>
  </w:abstractNum>
  <w:abstractNum w:abstractNumId="124">
    <w:nsid w:val="15BCABA8"/>
    <w:multiLevelType w:val="hybridMultilevel"/>
    <w:lvl w:ilvl="0">
      <w:lvlJc w:val="left"/>
      <w:lvlText w:val="%1."/>
      <w:numFmt w:val="decimal"/>
      <w:start w:val="2"/>
    </w:lvl>
  </w:abstractNum>
  <w:abstractNum w:abstractNumId="125">
    <w:nsid w:val="4E0B9A87"/>
    <w:multiLevelType w:val="hybridMultilevel"/>
    <w:lvl w:ilvl="0">
      <w:lvlJc w:val="left"/>
      <w:lvlText w:val="%1."/>
      <w:numFmt w:val="decimal"/>
      <w:start w:val="2"/>
    </w:lvl>
  </w:abstractNum>
  <w:abstractNum w:abstractNumId="126">
    <w:nsid w:val="434BAE75"/>
    <w:multiLevelType w:val="hybridMultilevel"/>
    <w:lvl w:ilvl="0">
      <w:lvlJc w:val="left"/>
      <w:lvlText w:val="•"/>
      <w:numFmt w:val="bullet"/>
      <w:start w:val="1"/>
    </w:lvl>
  </w:abstractNum>
  <w:abstractNum w:abstractNumId="127">
    <w:nsid w:val="4F38F265"/>
    <w:multiLevelType w:val="hybridMultilevel"/>
    <w:lvl w:ilvl="0">
      <w:lvlJc w:val="left"/>
      <w:lvlText w:val="%1."/>
      <w:numFmt w:val="decimal"/>
      <w:start w:val="2"/>
    </w:lvl>
    <w:lvl w:ilvl="1">
      <w:lvlJc w:val="left"/>
      <w:lvlText w:val="•"/>
      <w:numFmt w:val="bullet"/>
      <w:start w:val="1"/>
    </w:lvl>
  </w:abstractNum>
  <w:abstractNum w:abstractNumId="128">
    <w:nsid w:val="4C502870"/>
    <w:multiLevelType w:val="hybridMultilevel"/>
    <w:lvl w:ilvl="0">
      <w:lvlJc w:val="left"/>
      <w:lvlText w:val="%1."/>
      <w:numFmt w:val="decimal"/>
      <w:start w:val="2"/>
    </w:lvl>
  </w:abstractNum>
  <w:abstractNum w:abstractNumId="129">
    <w:nsid w:val="1DE8725A"/>
    <w:multiLevelType w:val="hybridMultilevel"/>
    <w:lvl w:ilvl="0">
      <w:lvlJc w:val="left"/>
      <w:lvlText w:val="%1."/>
      <w:numFmt w:val="decimal"/>
      <w:start w:val="3"/>
    </w:lvl>
  </w:abstractNum>
  <w:abstractNum w:abstractNumId="130">
    <w:nsid w:val="6A37288A"/>
    <w:multiLevelType w:val="hybridMultilevel"/>
    <w:lvl w:ilvl="0">
      <w:lvlJc w:val="left"/>
      <w:lvlText w:val="%1."/>
      <w:numFmt w:val="decimal"/>
      <w:start w:val="4"/>
    </w:lvl>
  </w:abstractNum>
  <w:abstractNum w:abstractNumId="131">
    <w:nsid w:val="8F8B73F"/>
    <w:multiLevelType w:val="hybridMultilevel"/>
    <w:lvl w:ilvl="0">
      <w:lvlJc w:val="left"/>
      <w:lvlText w:val="%1"/>
      <w:numFmt w:val="decimal"/>
      <w:start w:val="1"/>
    </w:lvl>
    <w:lvl w:ilvl="1">
      <w:lvlJc w:val="left"/>
      <w:lvlText w:val="(%2)"/>
      <w:numFmt w:val="decimal"/>
      <w:start w:val="1"/>
    </w:lvl>
  </w:abstractNum>
  <w:abstractNum w:abstractNumId="132">
    <w:nsid w:val="CA6B462"/>
    <w:multiLevelType w:val="hybridMultilevel"/>
    <w:lvl w:ilvl="0">
      <w:lvlJc w:val="left"/>
      <w:lvlText w:val="%1."/>
      <w:numFmt w:val="decimal"/>
      <w:start w:val="5"/>
    </w:lvl>
    <w:lvl w:ilvl="1">
      <w:lvlJc w:val="left"/>
      <w:lvlText w:val="%2"/>
      <w:numFmt w:val="decimal"/>
      <w:start w:val="1"/>
    </w:lvl>
  </w:abstractNum>
  <w:abstractNum w:abstractNumId="133">
    <w:nsid w:val="763CB680"/>
    <w:multiLevelType w:val="hybridMultilevel"/>
    <w:lvl w:ilvl="0">
      <w:lvlJc w:val="left"/>
      <w:lvlText w:val="%1."/>
      <w:numFmt w:val="decimal"/>
      <w:start w:val="6"/>
    </w:lvl>
  </w:abstractNum>
  <w:abstractNum w:abstractNumId="134">
    <w:nsid w:val="15B71329"/>
    <w:multiLevelType w:val="hybridMultilevel"/>
    <w:lvl w:ilvl="0">
      <w:lvlJc w:val="left"/>
      <w:lvlText w:val="%1."/>
      <w:numFmt w:val="decimal"/>
      <w:start w:val="7"/>
    </w:lvl>
  </w:abstractNum>
  <w:abstractNum w:abstractNumId="135">
    <w:nsid w:val="3DA97044"/>
    <w:multiLevelType w:val="hybridMultilevel"/>
    <w:lvl w:ilvl="0">
      <w:lvlJc w:val="left"/>
      <w:lvlText w:val="%1."/>
      <w:numFmt w:val="decimal"/>
      <w:start w:val="8"/>
    </w:lvl>
  </w:abstractNum>
  <w:abstractNum w:abstractNumId="136">
    <w:nsid w:val="1CDCE2DE"/>
    <w:multiLevelType w:val="hybridMultilevel"/>
    <w:lvl w:ilvl="0">
      <w:lvlJc w:val="left"/>
      <w:lvlText w:val="%1."/>
      <w:numFmt w:val="decimal"/>
      <w:start w:val="9"/>
    </w:lvl>
  </w:abstractNum>
  <w:abstractNum w:abstractNumId="137">
    <w:nsid w:val="69D3947C"/>
    <w:multiLevelType w:val="hybridMultilevel"/>
    <w:lvl w:ilvl="0">
      <w:lvlJc w:val="left"/>
      <w:lvlText w:val="%1."/>
      <w:numFmt w:val="decimal"/>
      <w:start w:val="9"/>
    </w:lvl>
  </w:abstractNum>
  <w:abstractNum w:abstractNumId="138">
    <w:nsid w:val="2539DFA5"/>
    <w:multiLevelType w:val="hybridMultilevel"/>
    <w:lvl w:ilvl="0">
      <w:lvlJc w:val="left"/>
      <w:lvlText w:val="%1."/>
      <w:numFmt w:val="decimal"/>
      <w:start w:val="9"/>
    </w:lvl>
  </w:abstractNum>
  <w:abstractNum w:abstractNumId="139">
    <w:nsid w:val="2DB88089"/>
    <w:multiLevelType w:val="hybridMultilevel"/>
    <w:lvl w:ilvl="0">
      <w:lvlJc w:val="left"/>
      <w:lvlText w:val="%1."/>
      <w:numFmt w:val="decimal"/>
      <w:start w:val="10"/>
    </w:lvl>
  </w:abstractNum>
  <w:abstractNum w:abstractNumId="140">
    <w:nsid w:val="706B674E"/>
    <w:multiLevelType w:val="hybridMultilevel"/>
    <w:lvl w:ilvl="0">
      <w:lvlJc w:val="left"/>
      <w:lvlText w:val="%1."/>
      <w:numFmt w:val="decimal"/>
      <w:start w:val="10"/>
    </w:lvl>
  </w:abstractNum>
  <w:abstractNum w:abstractNumId="141">
    <w:nsid w:val="2C106A57"/>
    <w:multiLevelType w:val="hybridMultilevel"/>
    <w:lvl w:ilvl="0">
      <w:lvlJc w:val="left"/>
      <w:lvlText w:val="%1."/>
      <w:numFmt w:val="decimal"/>
      <w:start w:val="11"/>
    </w:lvl>
  </w:abstractNum>
  <w:abstractNum w:abstractNumId="142">
    <w:nsid w:val="684EED59"/>
    <w:multiLevelType w:val="hybridMultilevel"/>
    <w:lvl w:ilvl="0">
      <w:lvlJc w:val="left"/>
      <w:lvlText w:val="%1."/>
      <w:numFmt w:val="decimal"/>
      <w:start w:val="11"/>
    </w:lvl>
  </w:abstractNum>
  <w:abstractNum w:abstractNumId="143">
    <w:nsid w:val="545EE5D3"/>
    <w:multiLevelType w:val="hybridMultilevel"/>
    <w:lvl w:ilvl="0">
      <w:lvlJc w:val="left"/>
      <w:lvlText w:val="(%1)"/>
      <w:numFmt w:val="decimal"/>
      <w:start w:val="1"/>
    </w:lvl>
  </w:abstractNum>
  <w:abstractNum w:abstractNumId="144">
    <w:nsid w:val="4A66051"/>
    <w:multiLevelType w:val="hybridMultilevel"/>
    <w:lvl w:ilvl="0">
      <w:lvlJc w:val="left"/>
      <w:lvlText w:val="(%1)"/>
      <w:numFmt w:val="decimal"/>
      <w:start w:val="2"/>
    </w:lvl>
  </w:abstractNum>
  <w:abstractNum w:abstractNumId="145">
    <w:nsid w:val="20F4BDAD"/>
    <w:multiLevelType w:val="hybridMultilevel"/>
    <w:lvl w:ilvl="0">
      <w:lvlJc w:val="left"/>
      <w:lvlText w:val="(%1)"/>
      <w:numFmt w:val="lowerRoman"/>
      <w:start w:val="1"/>
    </w:lvl>
  </w:abstractNum>
  <w:abstractNum w:abstractNumId="146">
    <w:nsid w:val="639DEFAC"/>
    <w:multiLevelType w:val="hybridMultilevel"/>
    <w:lvl w:ilvl="0">
      <w:lvlJc w:val="left"/>
      <w:lvlText w:val="%1."/>
      <w:numFmt w:val="decimal"/>
      <w:start w:val="11"/>
    </w:lvl>
  </w:abstractNum>
  <w:abstractNum w:abstractNumId="147">
    <w:nsid w:val="501F9786"/>
    <w:multiLevelType w:val="hybridMultilevel"/>
    <w:lvl w:ilvl="0">
      <w:lvlJc w:val="left"/>
      <w:lvlText w:val="(%1)"/>
      <w:numFmt w:val="lowerRoman"/>
      <w:start w:val="3"/>
    </w:lvl>
  </w:abstractNum>
  <w:abstractNum w:abstractNumId="148">
    <w:nsid w:val="6B057295"/>
    <w:multiLevelType w:val="hybridMultilevel"/>
    <w:lvl w:ilvl="0">
      <w:lvlJc w:val="left"/>
      <w:lvlText w:val="%1."/>
      <w:numFmt w:val="decimal"/>
      <w:start w:val="11"/>
    </w:lvl>
  </w:abstractNum>
  <w:abstractNum w:abstractNumId="149">
    <w:nsid w:val="2771AC80"/>
    <w:multiLevelType w:val="hybridMultilevel"/>
    <w:lvl w:ilvl="0">
      <w:lvlJc w:val="left"/>
      <w:lvlText w:val="%1."/>
      <w:numFmt w:val="decimal"/>
      <w:start w:val="12"/>
    </w:lvl>
    <w:lvl w:ilvl="1">
      <w:lvlJc w:val="left"/>
      <w:lvlText w:val="%2"/>
      <w:numFmt w:val="upperLetter"/>
      <w:start w:val="1"/>
    </w:lvl>
  </w:abstractNum>
  <w:abstractNum w:abstractNumId="150">
    <w:nsid w:val="1C4A08EC"/>
    <w:multiLevelType w:val="hybridMultilevel"/>
    <w:lvl w:ilvl="0">
      <w:lvlJc w:val="left"/>
      <w:lvlText w:val="%1."/>
      <w:numFmt w:val="decimal"/>
      <w:start w:val="12"/>
    </w:lvl>
    <w:lvl w:ilvl="1">
      <w:lvlJc w:val="left"/>
      <w:lvlText w:val="%2."/>
      <w:numFmt w:val="upperLetter"/>
      <w:start w:val="9"/>
    </w:lvl>
  </w:abstractNum>
  <w:abstractNum w:abstractNumId="151">
    <w:nsid w:val="1958BD17"/>
    <w:multiLevelType w:val="hybridMultilevel"/>
    <w:lvl w:ilvl="0">
      <w:lvlJc w:val="left"/>
      <w:lvlText w:val="%1."/>
      <w:numFmt w:val="decimal"/>
      <w:start w:val="12"/>
    </w:lvl>
    <w:lvl w:ilvl="1">
      <w:lvlJc w:val="left"/>
      <w:lvlText w:val="%2"/>
      <w:numFmt w:val="upperLetter"/>
      <w:start w:val="1"/>
    </w:lvl>
  </w:abstractNum>
  <w:abstractNum w:abstractNumId="152">
    <w:nsid w:val="4E647FE4"/>
    <w:multiLevelType w:val="hybridMultilevel"/>
    <w:lvl w:ilvl="0">
      <w:lvlJc w:val="left"/>
      <w:lvlText w:val="%1."/>
      <w:numFmt w:val="decimal"/>
      <w:start w:val="12"/>
    </w:lvl>
    <w:lvl w:ilvl="1">
      <w:lvlJc w:val="left"/>
      <w:lvlText w:val="%2"/>
      <w:numFmt w:val="upperLetter"/>
      <w:start w:val="1"/>
    </w:lvl>
  </w:abstractNum>
  <w:abstractNum w:abstractNumId="153">
    <w:nsid w:val="E0BB885"/>
    <w:multiLevelType w:val="hybridMultilevel"/>
    <w:lvl w:ilvl="0">
      <w:lvlJc w:val="left"/>
      <w:lvlText w:val="%1."/>
      <w:numFmt w:val="decimal"/>
      <w:start w:val="13"/>
    </w:lvl>
  </w:abstractNum>
  <w:abstractNum w:abstractNumId="154">
    <w:nsid w:val="565976F1"/>
    <w:multiLevelType w:val="hybridMultilevel"/>
    <w:lvl w:ilvl="0">
      <w:lvlJc w:val="left"/>
      <w:lvlText w:val="%1."/>
      <w:numFmt w:val="decimal"/>
      <w:start w:val="13"/>
    </w:lvl>
  </w:abstractNum>
  <w:abstractNum w:abstractNumId="155">
    <w:nsid w:val="64212B8C"/>
    <w:multiLevelType w:val="hybridMultilevel"/>
    <w:lvl w:ilvl="0">
      <w:lvlJc w:val="left"/>
      <w:lvlText w:val="%1."/>
      <w:numFmt w:val="decimal"/>
      <w:start w:val="13"/>
    </w:lvl>
  </w:abstractNum>
  <w:abstractNum w:abstractNumId="156">
    <w:nsid w:val="5C17530C"/>
    <w:multiLevelType w:val="hybridMultilevel"/>
    <w:lvl w:ilvl="0">
      <w:lvlJc w:val="left"/>
      <w:lvlText w:val="%1."/>
      <w:numFmt w:val="decimal"/>
      <w:start w:val="14"/>
    </w:lvl>
  </w:abstractNum>
  <w:abstractNum w:abstractNumId="157">
    <w:nsid w:val="19A52566"/>
    <w:multiLevelType w:val="hybridMultilevel"/>
    <w:lvl w:ilvl="0">
      <w:lvlJc w:val="left"/>
      <w:lvlText w:val="%1."/>
      <w:numFmt w:val="decimal"/>
      <w:start w:val="16"/>
    </w:lvl>
  </w:abstractNum>
  <w:abstractNum w:abstractNumId="158">
    <w:nsid w:val="335A1DF1"/>
    <w:multiLevelType w:val="hybridMultilevel"/>
    <w:lvl w:ilvl="0">
      <w:lvlJc w:val="left"/>
      <w:lvlText w:val="%1."/>
      <w:numFmt w:val="decimal"/>
      <w:start w:val="16"/>
    </w:lvl>
  </w:abstractNum>
  <w:abstractNum w:abstractNumId="159">
    <w:nsid w:val="28677B7C"/>
    <w:multiLevelType w:val="hybridMultilevel"/>
    <w:lvl w:ilvl="0">
      <w:lvlJc w:val="left"/>
      <w:lvlText w:val="%1."/>
      <w:numFmt w:val="decimal"/>
      <w:start w:val="17"/>
    </w:lvl>
  </w:abstractNum>
  <w:abstractNum w:abstractNumId="160">
    <w:nsid w:val="378D97C0"/>
    <w:multiLevelType w:val="hybridMultilevel"/>
    <w:lvl w:ilvl="0">
      <w:lvlJc w:val="left"/>
      <w:lvlText w:val="%1."/>
      <w:numFmt w:val="decimal"/>
      <w:start w:val="18"/>
    </w:lvl>
  </w:abstractNum>
  <w:abstractNum w:abstractNumId="161">
    <w:nsid w:val="1D91467C"/>
    <w:multiLevelType w:val="hybridMultilevel"/>
    <w:lvl w:ilvl="0">
      <w:lvlJc w:val="left"/>
      <w:lvlText w:val="%1."/>
      <w:numFmt w:val="decimal"/>
      <w:start w:val="19"/>
    </w:lvl>
  </w:abstractNum>
  <w:abstractNum w:abstractNumId="162">
    <w:nsid w:val="316032BB"/>
    <w:multiLevelType w:val="hybridMultilevel"/>
    <w:lvl w:ilvl="0">
      <w:lvlJc w:val="left"/>
      <w:lvlText w:val="%1."/>
      <w:numFmt w:val="decimal"/>
      <w:start w:val="19"/>
    </w:lvl>
  </w:abstractNum>
  <w:abstractNum w:abstractNumId="163">
    <w:nsid w:val="44344C22"/>
    <w:multiLevelType w:val="hybridMultilevel"/>
    <w:lvl w:ilvl="0">
      <w:lvlJc w:val="left"/>
      <w:lvlText w:val="%1."/>
      <w:numFmt w:val="decimal"/>
      <w:start w:val="1"/>
    </w:lvl>
  </w:abstractNum>
  <w:abstractNum w:abstractNumId="164">
    <w:nsid w:val="13CDFCFC"/>
    <w:multiLevelType w:val="hybridMultilevel"/>
    <w:lvl w:ilvl="0">
      <w:lvlJc w:val="left"/>
      <w:lvlText w:val="%1."/>
      <w:numFmt w:val="decimal"/>
      <w:start w:val="1"/>
    </w:lvl>
  </w:abstractNum>
  <w:abstractNum w:abstractNumId="165">
    <w:nsid w:val="471745E4"/>
    <w:multiLevelType w:val="hybridMultilevel"/>
    <w:lvl w:ilvl="0">
      <w:lvlJc w:val="left"/>
      <w:lvlText w:val="%1."/>
      <w:numFmt w:val="decimal"/>
      <w:start w:val="1"/>
    </w:lvl>
  </w:abstractNum>
  <w:abstractNum w:abstractNumId="166">
    <w:nsid w:val="1DDBC66"/>
    <w:multiLevelType w:val="hybridMultilevel"/>
    <w:lvl w:ilvl="0">
      <w:lvlJc w:val="left"/>
      <w:lvlText w:val="%1."/>
      <w:numFmt w:val="decimal"/>
      <w:start w:val="1"/>
    </w:lvl>
  </w:abstractNum>
  <w:abstractNum w:abstractNumId="167">
    <w:nsid w:val="30AADFDA"/>
    <w:multiLevelType w:val="hybridMultilevel"/>
    <w:lvl w:ilvl="0">
      <w:lvlJc w:val="left"/>
      <w:lvlText w:val="%1."/>
      <w:numFmt w:val="decimal"/>
      <w:start w:val="1"/>
    </w:lvl>
  </w:abstractNum>
  <w:abstractNum w:abstractNumId="168">
    <w:nsid w:val="30EADA61"/>
    <w:multiLevelType w:val="hybridMultilevel"/>
    <w:lvl w:ilvl="0">
      <w:lvlJc w:val="left"/>
      <w:lvlText w:val="%1."/>
      <w:numFmt w:val="decimal"/>
      <w:start w:val="2"/>
    </w:lvl>
  </w:abstractNum>
  <w:abstractNum w:abstractNumId="169">
    <w:nsid w:val="27179C0B"/>
    <w:multiLevelType w:val="hybridMultilevel"/>
    <w:lvl w:ilvl="0">
      <w:lvlJc w:val="left"/>
      <w:lvlText w:val="(%1)"/>
      <w:numFmt w:val="lowerLetter"/>
      <w:start w:val="1"/>
    </w:lvl>
  </w:abstractNum>
  <w:abstractNum w:abstractNumId="170">
    <w:nsid w:val="5E636063"/>
    <w:multiLevelType w:val="hybridMultilevel"/>
    <w:lvl w:ilvl="0">
      <w:lvlJc w:val="left"/>
      <w:lvlText w:val="(%1)"/>
      <w:numFmt w:val="lowerLetter"/>
      <w:start w:val="2"/>
    </w:lvl>
  </w:abstractNum>
  <w:abstractNum w:abstractNumId="171">
    <w:nsid w:val="215641AF"/>
    <w:multiLevelType w:val="hybridMultilevel"/>
    <w:lvl w:ilvl="0">
      <w:lvlJc w:val="left"/>
      <w:lvlText w:val="%1."/>
      <w:numFmt w:val="decimal"/>
      <w:start w:val="2"/>
    </w:lvl>
    <w:lvl w:ilvl="1">
      <w:lvlJc w:val="left"/>
      <w:lvlText w:val="(%2)"/>
      <w:numFmt w:val="lowerLetter"/>
      <w:start w:val="2"/>
    </w:lvl>
  </w:abstractNum>
  <w:abstractNum w:abstractNumId="172">
    <w:nsid w:val="53280662"/>
    <w:multiLevelType w:val="hybridMultilevel"/>
    <w:lvl w:ilvl="0">
      <w:lvlJc w:val="left"/>
      <w:lvlText w:val="%1."/>
      <w:numFmt w:val="decimal"/>
      <w:start w:val="2"/>
    </w:lvl>
  </w:abstractNum>
  <w:abstractNum w:abstractNumId="173">
    <w:nsid w:val="46B24DBC"/>
    <w:multiLevelType w:val="hybridMultilevel"/>
    <w:lvl w:ilvl="0">
      <w:lvlJc w:val="left"/>
      <w:lvlText w:val="(%1)"/>
      <w:numFmt w:val="lowerLetter"/>
      <w:start w:val="3"/>
    </w:lvl>
  </w:abstractNum>
  <w:abstractNum w:abstractNumId="174">
    <w:nsid w:val="75B52783"/>
    <w:multiLevelType w:val="hybridMultilevel"/>
    <w:lvl w:ilvl="0">
      <w:lvlJc w:val="left"/>
      <w:lvlText w:val="%1."/>
      <w:numFmt w:val="decimal"/>
      <w:start w:val="2"/>
    </w:lvl>
  </w:abstractNum>
  <w:abstractNum w:abstractNumId="175">
    <w:nsid w:val="57CE66B4"/>
    <w:multiLevelType w:val="hybridMultilevel"/>
    <w:lvl w:ilvl="0">
      <w:lvlJc w:val="left"/>
      <w:lvlText w:val="%1."/>
      <w:numFmt w:val="decimal"/>
      <w:start w:val="2"/>
    </w:lvl>
  </w:abstractNum>
  <w:abstractNum w:abstractNumId="176">
    <w:nsid w:val="67A70B69"/>
    <w:multiLevelType w:val="hybridMultilevel"/>
    <w:lvl w:ilvl="0">
      <w:lvlJc w:val="left"/>
      <w:lvlText w:val="•"/>
      <w:numFmt w:val="bullet"/>
      <w:start w:val="1"/>
    </w:lvl>
  </w:abstractNum>
  <w:abstractNum w:abstractNumId="177">
    <w:nsid w:val="5953172F"/>
    <w:multiLevelType w:val="hybridMultilevel"/>
    <w:lvl w:ilvl="0">
      <w:lvlJc w:val="left"/>
      <w:lvlText w:val="%1."/>
      <w:numFmt w:val="decimal"/>
      <w:start w:val="2"/>
    </w:lvl>
  </w:abstractNum>
  <w:abstractNum w:abstractNumId="178">
    <w:nsid w:val="27EDFE3A"/>
    <w:multiLevelType w:val="hybridMultilevel"/>
    <w:lvl w:ilvl="0">
      <w:lvlJc w:val="left"/>
      <w:lvlText w:val="%1."/>
      <w:numFmt w:val="decimal"/>
      <w:start w:val="4"/>
    </w:lvl>
  </w:abstractNum>
  <w:abstractNum w:abstractNumId="179">
    <w:nsid w:val="52AC7DFF"/>
    <w:multiLevelType w:val="hybridMultilevel"/>
    <w:lvl w:ilvl="0">
      <w:lvlJc w:val="left"/>
      <w:lvlText w:val="%1."/>
      <w:numFmt w:val="decimal"/>
      <w:start w:val="6"/>
    </w:lvl>
  </w:abstractNum>
  <w:abstractNum w:abstractNumId="180">
    <w:nsid w:val="C4C3AF"/>
    <w:multiLevelType w:val="hybridMultilevel"/>
    <w:lvl w:ilvl="0">
      <w:lvlJc w:val="left"/>
      <w:lvlText w:val="%1."/>
      <w:numFmt w:val="decimal"/>
      <w:start w:val="7"/>
    </w:lvl>
  </w:abstractNum>
  <w:abstractNum w:abstractNumId="181">
    <w:nsid w:val="44380727"/>
    <w:multiLevelType w:val="hybridMultilevel"/>
    <w:lvl w:ilvl="0">
      <w:lvlJc w:val="left"/>
      <w:lvlText w:val="%1."/>
      <w:numFmt w:val="decimal"/>
      <w:start w:val="8"/>
    </w:lvl>
  </w:abstractNum>
  <w:abstractNum w:abstractNumId="182">
    <w:nsid w:val="6C053B16"/>
    <w:multiLevelType w:val="hybridMultilevel"/>
    <w:lvl w:ilvl="0">
      <w:lvlJc w:val="left"/>
      <w:lvlText w:val="%1."/>
      <w:numFmt w:val="decimal"/>
      <w:start w:val="8"/>
    </w:lvl>
  </w:abstractNum>
  <w:abstractNum w:abstractNumId="183">
    <w:nsid w:val="4F294393"/>
    <w:multiLevelType w:val="hybridMultilevel"/>
    <w:lvl w:ilvl="0">
      <w:lvlJc w:val="left"/>
      <w:lvlText w:val="%1."/>
      <w:numFmt w:val="decimal"/>
      <w:start w:val="9"/>
    </w:lvl>
  </w:abstractNum>
  <w:abstractNum w:abstractNumId="184">
    <w:nsid w:val="5243BFAC"/>
    <w:multiLevelType w:val="hybridMultilevel"/>
    <w:lvl w:ilvl="0">
      <w:lvlJc w:val="left"/>
      <w:lvlText w:val="%1."/>
      <w:numFmt w:val="decimal"/>
      <w:start w:val="10"/>
    </w:lvl>
    <w:lvl w:ilvl="1">
      <w:lvlJc w:val="left"/>
      <w:lvlText w:val="(%2)"/>
      <w:numFmt w:val="decimal"/>
      <w:start w:val="1"/>
    </w:lvl>
  </w:abstractNum>
  <w:abstractNum w:abstractNumId="185">
    <w:nsid w:val="425EB207"/>
    <w:multiLevelType w:val="hybridMultilevel"/>
    <w:lvl w:ilvl="0">
      <w:lvlJc w:val="left"/>
      <w:lvlText w:val="(%1)"/>
      <w:numFmt w:val="lowerRoman"/>
      <w:start w:val="1"/>
    </w:lvl>
  </w:abstractNum>
  <w:abstractNum w:abstractNumId="186">
    <w:nsid w:val="334A6F1F"/>
    <w:multiLevelType w:val="hybridMultilevel"/>
    <w:lvl w:ilvl="0">
      <w:lvlJc w:val="left"/>
      <w:lvlText w:val="%1."/>
      <w:numFmt w:val="decimal"/>
      <w:start w:val="10"/>
    </w:lvl>
  </w:abstractNum>
  <w:abstractNum w:abstractNumId="187">
    <w:nsid w:val="2E5B12B8"/>
    <w:multiLevelType w:val="hybridMultilevel"/>
    <w:lvl w:ilvl="0">
      <w:lvlJc w:val="left"/>
      <w:lvlText w:val="(%1)"/>
      <w:numFmt w:val="lowerRoman"/>
      <w:start w:val="2"/>
    </w:lvl>
  </w:abstractNum>
  <w:abstractNum w:abstractNumId="188">
    <w:nsid w:val="5C03D76D"/>
    <w:multiLevelType w:val="hybridMultilevel"/>
    <w:lvl w:ilvl="0">
      <w:lvlJc w:val="left"/>
      <w:lvlText w:val="%1."/>
      <w:numFmt w:val="decimal"/>
      <w:start w:val="10"/>
    </w:lvl>
  </w:abstractNum>
  <w:abstractNum w:abstractNumId="189">
    <w:nsid w:val="66A48D11"/>
    <w:multiLevelType w:val="hybridMultilevel"/>
    <w:lvl w:ilvl="0">
      <w:lvlJc w:val="left"/>
      <w:lvlText w:val="%1."/>
      <w:numFmt w:val="decimal"/>
      <w:start w:val="10"/>
    </w:lvl>
  </w:abstractNum>
  <w:abstractNum w:abstractNumId="190">
    <w:nsid w:val="56C28E34"/>
    <w:multiLevelType w:val="hybridMultilevel"/>
    <w:lvl w:ilvl="0">
      <w:lvlJc w:val="left"/>
      <w:lvlText w:val="%1."/>
      <w:numFmt w:val="decimal"/>
      <w:start w:val="11"/>
    </w:lvl>
    <w:lvl w:ilvl="1">
      <w:lvlJc w:val="left"/>
      <w:lvlText w:val="%2"/>
      <w:numFmt w:val="upperLetter"/>
      <w:start w:val="1"/>
    </w:lvl>
  </w:abstractNum>
  <w:abstractNum w:abstractNumId="191">
    <w:nsid w:val="13916F2D"/>
    <w:multiLevelType w:val="hybridMultilevel"/>
    <w:lvl w:ilvl="0">
      <w:lvlJc w:val="left"/>
      <w:lvlText w:val="%1."/>
      <w:numFmt w:val="decimal"/>
      <w:start w:val="11"/>
    </w:lvl>
    <w:lvl w:ilvl="1">
      <w:lvlJc w:val="left"/>
      <w:lvlText w:val="%2."/>
      <w:numFmt w:val="upperLetter"/>
      <w:start w:val="9"/>
    </w:lvl>
  </w:abstractNum>
  <w:abstractNum w:abstractNumId="192">
    <w:nsid w:val="435D38D"/>
    <w:multiLevelType w:val="hybridMultilevel"/>
    <w:lvl w:ilvl="0">
      <w:lvlJc w:val="left"/>
      <w:lvlText w:val="%1."/>
      <w:numFmt w:val="decimal"/>
      <w:start w:val="11"/>
    </w:lvl>
    <w:lvl w:ilvl="1">
      <w:lvlJc w:val="left"/>
      <w:lvlText w:val="%2"/>
      <w:numFmt w:val="upperLetter"/>
      <w:start w:val="1"/>
    </w:lvl>
  </w:abstractNum>
  <w:abstractNum w:abstractNumId="193">
    <w:nsid w:val="822C0EF"/>
    <w:multiLevelType w:val="hybridMultilevel"/>
    <w:lvl w:ilvl="0">
      <w:lvlJc w:val="left"/>
      <w:lvlText w:val="%1."/>
      <w:numFmt w:val="decimal"/>
      <w:start w:val="11"/>
    </w:lvl>
    <w:lvl w:ilvl="1">
      <w:lvlJc w:val="left"/>
      <w:lvlText w:val="%2"/>
      <w:numFmt w:val="upperLetter"/>
      <w:start w:val="1"/>
    </w:lvl>
  </w:abstractNum>
  <w:abstractNum w:abstractNumId="194">
    <w:nsid w:val="57C5BB4F"/>
    <w:multiLevelType w:val="hybridMultilevel"/>
    <w:lvl w:ilvl="0">
      <w:lvlJc w:val="left"/>
      <w:lvlText w:val="%1."/>
      <w:numFmt w:val="decimal"/>
      <w:start w:val="12"/>
    </w:lvl>
  </w:abstractNum>
  <w:abstractNum w:abstractNumId="195">
    <w:nsid w:val="1803D089"/>
    <w:multiLevelType w:val="hybridMultilevel"/>
    <w:lvl w:ilvl="0">
      <w:lvlJc w:val="left"/>
      <w:lvlText w:val="%1."/>
      <w:numFmt w:val="decimal"/>
      <w:start w:val="12"/>
    </w:lvl>
  </w:abstractNum>
  <w:abstractNum w:abstractNumId="196">
    <w:nsid w:val="4F3A06D4"/>
    <w:multiLevelType w:val="hybridMultilevel"/>
    <w:lvl w:ilvl="0">
      <w:lvlJc w:val="left"/>
      <w:lvlText w:val="%1."/>
      <w:numFmt w:val="decimal"/>
      <w:start w:val="12"/>
    </w:lvl>
  </w:abstractNum>
  <w:abstractNum w:abstractNumId="197">
    <w:nsid w:val="59A377B6"/>
    <w:multiLevelType w:val="hybridMultilevel"/>
    <w:lvl w:ilvl="0">
      <w:lvlJc w:val="left"/>
      <w:lvlText w:val="%1."/>
      <w:numFmt w:val="decimal"/>
      <w:start w:val="13"/>
    </w:lvl>
  </w:abstractNum>
  <w:abstractNum w:abstractNumId="198">
    <w:nsid w:val="48AEB063"/>
    <w:multiLevelType w:val="hybridMultilevel"/>
    <w:lvl w:ilvl="0">
      <w:lvlJc w:val="left"/>
      <w:lvlText w:val="%1."/>
      <w:numFmt w:val="decimal"/>
      <w:start w:val="14"/>
    </w:lvl>
  </w:abstractNum>
  <w:abstractNum w:abstractNumId="199">
    <w:nsid w:val="24E135"/>
    <w:multiLevelType w:val="hybridMultilevel"/>
    <w:lvl w:ilvl="0">
      <w:lvlJc w:val="left"/>
      <w:lvlText w:val="%1."/>
      <w:numFmt w:val="decimal"/>
      <w:start w:val="15"/>
    </w:lvl>
  </w:abstractNum>
  <w:abstractNum w:abstractNumId="200">
    <w:nsid w:val="BB13C1"/>
    <w:multiLevelType w:val="hybridMultilevel"/>
    <w:lvl w:ilvl="0">
      <w:lvlJc w:val="left"/>
      <w:lvlText w:val="%1."/>
      <w:numFmt w:val="decimal"/>
      <w:start w:val="16"/>
    </w:lvl>
  </w:abstractNum>
  <w:abstractNum w:abstractNumId="201">
    <w:nsid w:val="271210C7"/>
    <w:multiLevelType w:val="hybridMultilevel"/>
    <w:lvl w:ilvl="0">
      <w:lvlJc w:val="left"/>
      <w:lvlText w:val="%1."/>
      <w:numFmt w:val="decimal"/>
      <w:start w:val="17"/>
    </w:lvl>
  </w:abstractNum>
  <w:abstractNum w:abstractNumId="202">
    <w:nsid w:val="217B22E4"/>
    <w:multiLevelType w:val="hybridMultilevel"/>
    <w:lvl w:ilvl="0">
      <w:lvlJc w:val="left"/>
      <w:lvlText w:val="%1."/>
      <w:numFmt w:val="decimal"/>
      <w:start w:val="18"/>
    </w:lvl>
  </w:abstractNum>
  <w:abstractNum w:abstractNumId="203">
    <w:nsid w:val="53E31A24"/>
    <w:multiLevelType w:val="hybridMultilevel"/>
    <w:lvl w:ilvl="0">
      <w:lvlJc w:val="left"/>
      <w:lvlText w:val="(%1)"/>
      <w:numFmt w:val="decimal"/>
      <w:start w:val="1"/>
    </w:lvl>
  </w:abstractNum>
  <w:abstractNum w:abstractNumId="204">
    <w:nsid w:val="6DC45E83"/>
    <w:multiLevelType w:val="hybridMultilevel"/>
    <w:lvl w:ilvl="0">
      <w:lvlJc w:val="left"/>
      <w:lvlText w:val="(%1)"/>
      <w:numFmt w:val="lowerLetter"/>
      <w:start w:val="1"/>
    </w:lvl>
  </w:abstractNum>
  <w:abstractNum w:abstractNumId="205">
    <w:nsid w:val="17304A67"/>
    <w:multiLevelType w:val="hybridMultilevel"/>
    <w:lvl w:ilvl="0">
      <w:lvlJc w:val="left"/>
      <w:lvlText w:val="(%1)"/>
      <w:numFmt w:val="lowerLetter"/>
      <w:start w:val="2"/>
    </w:lvl>
  </w:abstractNum>
  <w:abstractNum w:abstractNumId="206">
    <w:nsid w:val="2BB180D8"/>
    <w:multiLevelType w:val="hybridMultilevel"/>
    <w:lvl w:ilvl="0">
      <w:lvlJc w:val="left"/>
      <w:lvlText w:val="(%1)"/>
      <w:numFmt w:val="decimal"/>
      <w:start w:val="1"/>
    </w:lvl>
    <w:lvl w:ilvl="1">
      <w:lvlJc w:val="left"/>
      <w:lvlText w:val="(%2)"/>
      <w:numFmt w:val="lowerRoman"/>
      <w:start w:val="1"/>
    </w:lvl>
  </w:abstractNum>
  <w:abstractNum w:abstractNumId="207">
    <w:nsid w:val="556B69ED"/>
    <w:multiLevelType w:val="hybridMultilevel"/>
    <w:lvl w:ilvl="0">
      <w:lvlJc w:val="left"/>
      <w:lvlText w:val="†"/>
      <w:numFmt w:val="bullet"/>
      <w:start w:val="1"/>
    </w:lvl>
  </w:abstractNum>
  <w:abstractNum w:abstractNumId="208">
    <w:nsid w:val="70836196"/>
    <w:multiLevelType w:val="hybridMultilevel"/>
    <w:lvl w:ilvl="0">
      <w:lvlJc w:val="left"/>
      <w:lvlText w:val="%1."/>
      <w:numFmt w:val="decimal"/>
      <w:start w:val="1"/>
    </w:lvl>
  </w:abstractNum>
  <w:abstractNum w:abstractNumId="209">
    <w:nsid w:val="539F7F12"/>
    <w:multiLevelType w:val="hybridMultilevel"/>
    <w:lvl w:ilvl="0">
      <w:lvlJc w:val="left"/>
      <w:lvlText w:val="(%1)"/>
      <w:numFmt w:val="lowerLetter"/>
      <w:start w:val="1"/>
    </w:lvl>
  </w:abstractNum>
  <w:abstractNum w:abstractNumId="210">
    <w:nsid w:val="2817E7EC"/>
    <w:multiLevelType w:val="hybridMultilevel"/>
    <w:lvl w:ilvl="0">
      <w:lvlJc w:val="left"/>
      <w:lvlText w:val="(%1)"/>
      <w:numFmt w:val="lowerLetter"/>
      <w:start w:val="2"/>
    </w:lvl>
  </w:abstractNum>
  <w:abstractNum w:abstractNumId="211">
    <w:nsid w:val="71482545"/>
    <w:multiLevelType w:val="hybridMultilevel"/>
    <w:lvl w:ilvl="0">
      <w:lvlJc w:val="left"/>
      <w:lvlText w:val="%1"/>
      <w:numFmt w:val="lowerLetter"/>
      <w:start w:val="1"/>
    </w:lvl>
    <w:lvl w:ilvl="1">
      <w:lvlJc w:val="left"/>
      <w:lvlText w:val="(%2)"/>
      <w:numFmt w:val="lowerLetter"/>
      <w:start w:val="4"/>
    </w:lvl>
  </w:abstractNum>
  <w:abstractNum w:abstractNumId="212">
    <w:nsid w:val="17D78639"/>
    <w:multiLevelType w:val="hybridMultilevel"/>
    <w:lvl w:ilvl="0">
      <w:lvlJc w:val="left"/>
      <w:lvlText w:val="(%1)"/>
      <w:numFmt w:val="lowerLetter"/>
      <w:start w:val="5"/>
    </w:lvl>
    <w:lvl w:ilvl="1">
      <w:lvlJc w:val="left"/>
      <w:lvlText w:val="%2"/>
      <w:numFmt w:val="lowerLetter"/>
      <w:start w:val="1"/>
    </w:lvl>
  </w:abstractNum>
  <w:abstractNum w:abstractNumId="213">
    <w:nsid w:val="141D2302"/>
    <w:multiLevelType w:val="hybridMultilevel"/>
    <w:lvl w:ilvl="0">
      <w:lvlJc w:val="left"/>
      <w:lvlText w:val="(%1)"/>
      <w:numFmt w:val="lowerLetter"/>
      <w:start w:val="7"/>
    </w:lvl>
    <w:lvl w:ilvl="1">
      <w:lvlJc w:val="left"/>
      <w:lvlText w:val="(%2)"/>
      <w:numFmt w:val="upperLetter"/>
      <w:start w:val="1"/>
    </w:lvl>
  </w:abstractNum>
  <w:abstractNum w:abstractNumId="214">
    <w:nsid w:val="407168D8"/>
    <w:multiLevelType w:val="hybridMultilevel"/>
    <w:lvl w:ilvl="0">
      <w:lvlJc w:val="left"/>
      <w:lvlText w:val="%1"/>
      <w:numFmt w:val="lowerLetter"/>
      <w:start w:val="1"/>
    </w:lvl>
    <w:lvl w:ilvl="1">
      <w:lvlJc w:val="left"/>
      <w:lvlText w:val="(%2)"/>
      <w:numFmt w:val="upperLetter"/>
      <w:start w:val="3"/>
    </w:lvl>
  </w:abstractNum>
  <w:abstractNum w:abstractNumId="215">
    <w:nsid w:val="6A1B45E5"/>
    <w:multiLevelType w:val="hybridMultilevel"/>
    <w:lvl w:ilvl="0">
      <w:lvlJc w:val="left"/>
      <w:lvlText w:val="(%1)"/>
      <w:numFmt w:val="lowerLetter"/>
      <w:start w:val="8"/>
    </w:lvl>
    <w:lvl w:ilvl="1">
      <w:lvlJc w:val="left"/>
      <w:lvlText w:val="%2"/>
      <w:numFmt w:val="upperLetter"/>
      <w:start w:val="1"/>
    </w:lvl>
  </w:abstractNum>
  <w:abstractNum w:abstractNumId="216">
    <w:nsid w:val="567BD50A"/>
    <w:multiLevelType w:val="hybridMultilevel"/>
    <w:lvl w:ilvl="0">
      <w:lvlJc w:val="left"/>
      <w:lvlText w:val="(%1)"/>
      <w:numFmt w:val="lowerLetter"/>
      <w:start w:val="11"/>
    </w:lvl>
  </w:abstractNum>
  <w:abstractNum w:abstractNumId="217">
    <w:nsid w:val="73BBD7F8"/>
    <w:multiLevelType w:val="hybridMultilevel"/>
    <w:lvl w:ilvl="0">
      <w:lvlJc w:val="left"/>
      <w:lvlText w:val="%1"/>
      <w:numFmt w:val="lowerLetter"/>
      <w:start w:val="1"/>
    </w:lvl>
    <w:lvl w:ilvl="1">
      <w:lvlJc w:val="left"/>
      <w:lvlText w:val="(%2)"/>
      <w:numFmt w:val="lowerLetter"/>
      <w:start w:val="17"/>
    </w:lvl>
  </w:abstractNum>
  <w:abstractNum w:abstractNumId="218">
    <w:nsid w:val="1876589D"/>
    <w:multiLevelType w:val="hybridMultilevel"/>
    <w:lvl w:ilvl="0">
      <w:lvlJc w:val="left"/>
      <w:lvlText w:val="(%1)"/>
      <w:numFmt w:val="lowerLetter"/>
      <w:start w:val="35"/>
    </w:lvl>
    <w:lvl w:ilvl="1">
      <w:lvlJc w:val="left"/>
      <w:lvlText w:val="%2"/>
      <w:numFmt w:val="lowerLetter"/>
      <w:start w:val="1"/>
    </w:lvl>
  </w:abstractNum>
  <w:abstractNum w:abstractNumId="219">
    <w:nsid w:val="327FAC77"/>
    <w:multiLevelType w:val="hybridMultilevel"/>
    <w:lvl w:ilvl="0">
      <w:lvlJc w:val="left"/>
      <w:lvlText w:val="%1"/>
      <w:numFmt w:val="lowerLetter"/>
      <w:start w:val="1"/>
    </w:lvl>
    <w:lvl w:ilvl="1">
      <w:lvlJc w:val="left"/>
      <w:lvlText w:val="(%2)"/>
      <w:numFmt w:val="lowerLetter"/>
      <w:start w:val="20"/>
    </w:lvl>
  </w:abstractNum>
  <w:abstractNum w:abstractNumId="220">
    <w:nsid w:val="5A606509"/>
    <w:multiLevelType w:val="hybridMultilevel"/>
    <w:lvl w:ilvl="0">
      <w:lvlJc w:val="left"/>
      <w:lvlText w:val="(%1)"/>
      <w:numFmt w:val="lowerLetter"/>
      <w:start w:val="9"/>
    </w:lvl>
    <w:lvl w:ilvl="1">
      <w:lvlJc w:val="left"/>
      <w:lvlText w:val="(%2)"/>
      <w:numFmt w:val="lowerLetter"/>
      <w:start w:val="21"/>
    </w:lvl>
  </w:abstractNum>
  <w:abstractNum w:abstractNumId="221">
    <w:nsid w:val="6F38E6D1"/>
    <w:multiLevelType w:val="hybridMultilevel"/>
    <w:lvl w:ilvl="0">
      <w:lvlJc w:val="left"/>
      <w:lvlText w:val="(%1)"/>
      <w:numFmt w:val="lowerLetter"/>
      <w:start w:val="25"/>
    </w:lvl>
  </w:abstractNum>
  <w:abstractNum w:abstractNumId="222">
    <w:nsid w:val="46111BA5"/>
    <w:multiLevelType w:val="hybridMultilevel"/>
    <w:lvl w:ilvl="0">
      <w:lvlJc w:val="left"/>
      <w:lvlText w:val="(%1)"/>
      <w:numFmt w:val="lowerLetter"/>
      <w:start w:val="27"/>
    </w:lvl>
    <w:lvl w:ilvl="1">
      <w:lvlJc w:val="left"/>
      <w:lvlText w:val="(%2)"/>
      <w:numFmt w:val="upperLetter"/>
      <w:start w:val="1"/>
    </w:lvl>
  </w:abstractNum>
  <w:abstractNum w:abstractNumId="223">
    <w:nsid w:val="5E963896"/>
    <w:multiLevelType w:val="hybridMultilevel"/>
    <w:lvl w:ilvl="0">
      <w:lvlJc w:val="left"/>
      <w:lvlText w:val="(%1)"/>
      <w:numFmt w:val="upperLetter"/>
      <w:start w:val="2"/>
    </w:lvl>
    <w:lvl w:ilvl="1">
      <w:lvlJc w:val="left"/>
      <w:lvlText w:val="(%2)"/>
      <w:numFmt w:val="lowerRoman"/>
      <w:start w:val="2"/>
    </w:lvl>
  </w:abstractNum>
  <w:abstractNum w:abstractNumId="224">
    <w:nsid w:val="775BA7C1"/>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225">
    <w:nsid w:val="1DD6D6F4"/>
    <w:multiLevelType w:val="hybridMultilevel"/>
    <w:lvl w:ilvl="0">
      <w:lvlJc w:val="left"/>
      <w:lvlText w:val="(%1)"/>
      <w:numFmt w:val="lowerLetter"/>
      <w:start w:val="28"/>
    </w:lvl>
    <w:lvl w:ilvl="1">
      <w:lvlJc w:val="left"/>
      <w:lvlText w:val="%2"/>
      <w:numFmt w:val="upperLetter"/>
      <w:start w:val="1"/>
    </w:lvl>
    <w:lvl w:ilvl="2">
      <w:lvlJc w:val="left"/>
      <w:lvlText w:val="%3"/>
      <w:numFmt w:val="lowerLetter"/>
      <w:start w:val="1"/>
    </w:lvl>
  </w:abstractNum>
  <w:abstractNum w:abstractNumId="226">
    <w:nsid w:val="769A091F"/>
    <w:multiLevelType w:val="hybridMultilevel"/>
    <w:lvl w:ilvl="0">
      <w:lvlJc w:val="left"/>
      <w:lvlText w:val="(%1)"/>
      <w:numFmt w:val="lowerLetter"/>
      <w:start w:val="29"/>
    </w:lvl>
  </w:abstractNum>
  <w:abstractNum w:abstractNumId="227">
    <w:nsid w:val="4695AE95"/>
    <w:multiLevelType w:val="hybridMultilevel"/>
    <w:lvl w:ilvl="0">
      <w:lvlJc w:val="left"/>
      <w:lvlText w:val="(%1)"/>
      <w:numFmt w:val="lowerLetter"/>
      <w:start w:val="34"/>
    </w:lvl>
  </w:abstractNum>
  <w:abstractNum w:abstractNumId="228">
    <w:nsid w:val="777A4EAA"/>
    <w:multiLevelType w:val="hybridMultilevel"/>
    <w:lvl w:ilvl="0">
      <w:lvlJc w:val="left"/>
      <w:lvlText w:val="%1"/>
      <w:numFmt w:val="lowerLetter"/>
      <w:start w:val="1"/>
    </w:lvl>
    <w:lvl w:ilvl="1">
      <w:lvlJc w:val="left"/>
      <w:lvlText w:val="(%2)"/>
      <w:numFmt w:val="lowerLetter"/>
      <w:start w:val="38"/>
    </w:lvl>
  </w:abstractNum>
  <w:abstractNum w:abstractNumId="229">
    <w:nsid w:val="3F48B982"/>
    <w:multiLevelType w:val="hybridMultilevel"/>
    <w:lvl w:ilvl="0">
      <w:lvlJc w:val="left"/>
      <w:lvlText w:val="(%1)"/>
      <w:numFmt w:val="lowerLetter"/>
      <w:start w:val="35"/>
    </w:lvl>
    <w:lvl w:ilvl="1">
      <w:lvlJc w:val="left"/>
      <w:lvlText w:val="(%2)"/>
      <w:numFmt w:val="lowerLetter"/>
      <w:start w:val="41"/>
    </w:lvl>
  </w:abstractNum>
  <w:abstractNum w:abstractNumId="230">
    <w:nsid w:val="46BA8FCA"/>
    <w:multiLevelType w:val="hybridMultilevel"/>
    <w:lvl w:ilvl="0">
      <w:lvlJc w:val="left"/>
      <w:lvlText w:val="(%1)"/>
      <w:numFmt w:val="lowerLetter"/>
      <w:start w:val="9"/>
    </w:lvl>
    <w:lvl w:ilvl="1">
      <w:lvlJc w:val="left"/>
      <w:lvlText w:val="%2"/>
      <w:numFmt w:val="lowerLetter"/>
      <w:start w:val="1"/>
    </w:lvl>
  </w:abstractNum>
  <w:abstractNum w:abstractNumId="231">
    <w:nsid w:val="7835626C"/>
    <w:multiLevelType w:val="hybridMultilevel"/>
    <w:lvl w:ilvl="0">
      <w:lvlJc w:val="left"/>
      <w:lvlText w:val="(%1)"/>
      <w:numFmt w:val="lowerLetter"/>
      <w:start w:val="61"/>
    </w:lvl>
    <w:lvl w:ilvl="1">
      <w:lvlJc w:val="left"/>
      <w:lvlText w:val="%2"/>
      <w:numFmt w:val="lowerLetter"/>
      <w:start w:val="1"/>
    </w:lvl>
  </w:abstractNum>
  <w:abstractNum w:abstractNumId="232">
    <w:nsid w:val="665ACA49"/>
    <w:multiLevelType w:val="hybridMultilevel"/>
    <w:lvl w:ilvl="0">
      <w:lvlJc w:val="left"/>
      <w:lvlText w:val="%1"/>
      <w:numFmt w:val="decimal"/>
      <w:start w:val="1"/>
    </w:lvl>
    <w:lvl w:ilvl="1">
      <w:lvlJc w:val="left"/>
      <w:lvlText w:val="(%2)"/>
      <w:numFmt w:val="lowerLetter"/>
      <w:start w:val="42"/>
    </w:lvl>
  </w:abstractNum>
  <w:abstractNum w:abstractNumId="233">
    <w:nsid w:val="6835B2AE"/>
    <w:multiLevelType w:val="hybridMultilevel"/>
    <w:lvl w:ilvl="0">
      <w:lvlJc w:val="left"/>
      <w:lvlText w:val="(%1)"/>
      <w:numFmt w:val="decimal"/>
      <w:start w:val="2"/>
    </w:lvl>
    <w:lvl w:ilvl="1">
      <w:lvlJc w:val="left"/>
      <w:lvlText w:val="%2"/>
      <w:numFmt w:val="lowerLetter"/>
      <w:start w:val="1"/>
    </w:lvl>
  </w:abstractNum>
  <w:abstractNum w:abstractNumId="234">
    <w:nsid w:val="4C187C90"/>
    <w:multiLevelType w:val="hybridMultilevel"/>
    <w:lvl w:ilvl="0">
      <w:lvlJc w:val="left"/>
      <w:lvlText w:val="(%1)"/>
      <w:numFmt w:val="lowerLetter"/>
      <w:start w:val="46"/>
    </w:lvl>
  </w:abstractNum>
  <w:abstractNum w:abstractNumId="235">
    <w:nsid w:val="541F28CD"/>
    <w:multiLevelType w:val="hybridMultilevel"/>
    <w:lvl w:ilvl="0">
      <w:lvlJc w:val="left"/>
      <w:lvlText w:val="(%1)"/>
      <w:numFmt w:val="lowerLetter"/>
      <w:start w:val="51"/>
    </w:lvl>
  </w:abstractNum>
  <w:abstractNum w:abstractNumId="236">
    <w:nsid w:val="7F65FD16"/>
    <w:multiLevelType w:val="hybridMultilevel"/>
    <w:lvl w:ilvl="0">
      <w:lvlJc w:val="left"/>
      <w:lvlText w:val="(%1)"/>
      <w:numFmt w:val="lowerLetter"/>
      <w:start w:val="53"/>
    </w:lvl>
  </w:abstractNum>
  <w:abstractNum w:abstractNumId="237">
    <w:nsid w:val="77C9FD68"/>
    <w:multiLevelType w:val="hybridMultilevel"/>
    <w:lvl w:ilvl="0">
      <w:lvlJc w:val="left"/>
      <w:lvlText w:val="(%1)"/>
      <w:numFmt w:val="lowerLetter"/>
      <w:start w:val="54"/>
    </w:lvl>
  </w:abstractNum>
  <w:abstractNum w:abstractNumId="238">
    <w:nsid w:val="298A92BA"/>
    <w:multiLevelType w:val="hybridMultilevel"/>
    <w:lvl w:ilvl="0">
      <w:lvlJc w:val="left"/>
      <w:lvlText w:val="(%1)"/>
      <w:numFmt w:val="lowerLetter"/>
      <w:start w:val="59"/>
    </w:lvl>
  </w:abstractNum>
  <w:abstractNum w:abstractNumId="239">
    <w:nsid w:val="6FE95EAC"/>
    <w:multiLevelType w:val="hybridMultilevel"/>
    <w:lvl w:ilvl="0">
      <w:lvlJc w:val="left"/>
      <w:lvlText w:val="%1."/>
      <w:numFmt w:val="decimal"/>
      <w:start w:val="2"/>
    </w:lvl>
  </w:abstractNum>
  <w:abstractNum w:abstractNumId="240">
    <w:nsid w:val="4B697C7A"/>
    <w:multiLevelType w:val="hybridMultilevel"/>
    <w:lvl w:ilvl="0">
      <w:lvlJc w:val="left"/>
      <w:lvlText w:val="%1."/>
      <w:numFmt w:val="decimal"/>
      <w:start w:val="3"/>
    </w:lvl>
  </w:abstractNum>
  <w:abstractNum w:abstractNumId="241">
    <w:nsid w:val="51A27AA6"/>
    <w:multiLevelType w:val="hybridMultilevel"/>
    <w:lvl w:ilvl="0">
      <w:lvlJc w:val="left"/>
      <w:lvlText w:val="%1."/>
      <w:numFmt w:val="decimal"/>
      <w:start w:val="4"/>
    </w:lvl>
  </w:abstractNum>
  <w:abstractNum w:abstractNumId="242">
    <w:nsid w:val="613183F2"/>
    <w:multiLevelType w:val="hybridMultilevel"/>
    <w:lvl w:ilvl="0">
      <w:lvlJc w:val="left"/>
      <w:lvlText w:val="(%1)"/>
      <w:numFmt w:val="lowerLetter"/>
      <w:start w:val="2"/>
    </w:lvl>
  </w:abstractNum>
  <w:abstractNum w:abstractNumId="243">
    <w:nsid w:val="634102B4"/>
    <w:multiLevelType w:val="hybridMultilevel"/>
    <w:lvl w:ilvl="0">
      <w:lvlJc w:val="left"/>
      <w:lvlText w:val="%1"/>
      <w:numFmt w:val="lowerLetter"/>
      <w:start w:val="1"/>
    </w:lvl>
    <w:lvl w:ilvl="1">
      <w:lvlJc w:val="left"/>
      <w:lvlText w:val="(%2)"/>
      <w:numFmt w:val="lowerLetter"/>
      <w:start w:val="3"/>
    </w:lvl>
  </w:abstractNum>
  <w:abstractNum w:abstractNumId="244">
    <w:nsid w:val="65BF9DA8"/>
    <w:multiLevelType w:val="hybridMultilevel"/>
    <w:lvl w:ilvl="0">
      <w:lvlJc w:val="left"/>
      <w:lvlText w:val="(%1)"/>
      <w:numFmt w:val="lowerLetter"/>
      <w:start w:val="35"/>
    </w:lvl>
    <w:lvl w:ilvl="1">
      <w:lvlJc w:val="left"/>
      <w:lvlText w:val="%2"/>
      <w:numFmt w:val="lowerLetter"/>
      <w:start w:val="1"/>
    </w:lvl>
  </w:abstractNum>
  <w:abstractNum w:abstractNumId="245">
    <w:nsid w:val="21A2ECCA"/>
    <w:multiLevelType w:val="hybridMultilevel"/>
    <w:lvl w:ilvl="0">
      <w:lvlJc w:val="left"/>
      <w:lvlText w:val="%1."/>
      <w:numFmt w:val="decimal"/>
      <w:start w:val="5"/>
    </w:lvl>
  </w:abstractNum>
  <w:abstractNum w:abstractNumId="246">
    <w:nsid w:val="4D5C4899"/>
    <w:multiLevelType w:val="hybridMultilevel"/>
    <w:lvl w:ilvl="0">
      <w:lvlJc w:val="left"/>
      <w:lvlText w:val="(%1)"/>
      <w:numFmt w:val="lowerLetter"/>
      <w:start w:val="1"/>
    </w:lvl>
  </w:abstractNum>
  <w:abstractNum w:abstractNumId="247">
    <w:nsid w:val="3C3B72B2"/>
    <w:multiLevelType w:val="hybridMultilevel"/>
    <w:lvl w:ilvl="0">
      <w:lvlJc w:val="left"/>
      <w:lvlText w:val="(%1)"/>
      <w:numFmt w:val="lowerLetter"/>
      <w:start w:val="2"/>
    </w:lvl>
  </w:abstractNum>
  <w:abstractNum w:abstractNumId="248">
    <w:nsid w:val="155EC4C2"/>
    <w:multiLevelType w:val="hybridMultilevel"/>
    <w:lvl w:ilvl="0">
      <w:lvlJc w:val="left"/>
      <w:lvlText w:val="(%1)"/>
      <w:numFmt w:val="lowerLetter"/>
      <w:start w:val="8"/>
    </w:lvl>
  </w:abstractNum>
  <w:abstractNum w:abstractNumId="249">
    <w:nsid w:val="65D2A137"/>
    <w:multiLevelType w:val="hybridMultilevel"/>
    <w:lvl w:ilvl="0">
      <w:lvlJc w:val="left"/>
      <w:lvlText w:val="(%1)"/>
      <w:numFmt w:val="lowerLetter"/>
      <w:start w:val="9"/>
    </w:lvl>
  </w:abstractNum>
  <w:abstractNum w:abstractNumId="250">
    <w:nsid w:val="6EBB1F2A"/>
    <w:multiLevelType w:val="hybridMultilevel"/>
    <w:lvl w:ilvl="0">
      <w:lvlJc w:val="left"/>
      <w:lvlText w:val="(%1)"/>
      <w:numFmt w:val="lowerLetter"/>
      <w:start w:val="14"/>
    </w:lvl>
  </w:abstractNum>
  <w:abstractNum w:abstractNumId="251">
    <w:nsid w:val="6FBF29CB"/>
    <w:multiLevelType w:val="hybridMultilevel"/>
    <w:lvl w:ilvl="0">
      <w:lvlJc w:val="left"/>
      <w:lvlText w:val="(%1)"/>
      <w:numFmt w:val="lowerLetter"/>
      <w:start w:val="17"/>
    </w:lvl>
  </w:abstractNum>
  <w:abstractNum w:abstractNumId="252">
    <w:nsid w:val="550B8808"/>
    <w:multiLevelType w:val="hybridMultilevel"/>
    <w:lvl w:ilvl="0">
      <w:lvlJc w:val="left"/>
      <w:lvlText w:val="%1."/>
      <w:numFmt w:val="decimal"/>
      <w:start w:val="6"/>
    </w:lvl>
  </w:abstractNum>
  <w:abstractNum w:abstractNumId="253">
    <w:nsid w:val="34CC3ACF"/>
    <w:multiLevelType w:val="hybridMultilevel"/>
    <w:lvl w:ilvl="0">
      <w:lvlJc w:val="left"/>
      <w:lvlText w:val="(%1)"/>
      <w:numFmt w:val="lowerLetter"/>
      <w:start w:val="1"/>
    </w:lvl>
  </w:abstractNum>
  <w:abstractNum w:abstractNumId="254">
    <w:nsid w:val="4E556261"/>
    <w:multiLevelType w:val="hybridMultilevel"/>
    <w:lvl w:ilvl="0">
      <w:lvlJc w:val="left"/>
      <w:lvlText w:val="(%1)"/>
      <w:numFmt w:val="lowerLetter"/>
      <w:start w:val="3"/>
    </w:lvl>
  </w:abstractNum>
  <w:abstractNum w:abstractNumId="255">
    <w:nsid w:val="4C672FC9"/>
    <w:multiLevelType w:val="hybridMultilevel"/>
    <w:lvl w:ilvl="0">
      <w:lvlJc w:val="left"/>
      <w:lvlText w:val="(%1)"/>
      <w:numFmt w:val="lowerLetter"/>
      <w:start w:val="9"/>
    </w:lvl>
  </w:abstractNum>
  <w:abstractNum w:abstractNumId="256">
    <w:nsid w:val="52A311C3"/>
    <w:multiLevelType w:val="hybridMultilevel"/>
    <w:lvl w:ilvl="0">
      <w:lvlJc w:val="left"/>
      <w:lvlText w:val="(%1)"/>
      <w:numFmt w:val="lowerLetter"/>
      <w:start w:val="14"/>
    </w:lvl>
  </w:abstractNum>
  <w:abstractNum w:abstractNumId="257">
    <w:nsid w:val="44EF6B80"/>
    <w:multiLevelType w:val="hybridMultilevel"/>
    <w:lvl w:ilvl="0">
      <w:lvlJc w:val="left"/>
      <w:lvlText w:val="%1"/>
      <w:numFmt w:val="lowerLetter"/>
      <w:start w:val="1"/>
    </w:lvl>
    <w:lvl w:ilvl="1">
      <w:lvlJc w:val="left"/>
      <w:lvlText w:val="(%2)"/>
      <w:numFmt w:val="lowerLetter"/>
      <w:start w:val="21"/>
    </w:lvl>
  </w:abstractNum>
  <w:abstractNum w:abstractNumId="258">
    <w:nsid w:val="12FCDE5E"/>
    <w:multiLevelType w:val="hybridMultilevel"/>
    <w:lvl w:ilvl="0">
      <w:lvlJc w:val="left"/>
      <w:lvlText w:val="(%1)"/>
      <w:numFmt w:val="lowerLetter"/>
      <w:start w:val="1"/>
    </w:lvl>
    <w:lvl w:ilvl="1">
      <w:lvlJc w:val="left"/>
      <w:lvlText w:val="(%2)"/>
      <w:numFmt w:val="lowerLetter"/>
      <w:start w:val="23"/>
    </w:lvl>
  </w:abstractNum>
  <w:abstractNum w:abstractNumId="259">
    <w:nsid w:val="4A1D606E"/>
    <w:multiLevelType w:val="hybridMultilevel"/>
    <w:lvl w:ilvl="0">
      <w:lvlJc w:val="left"/>
      <w:lvlText w:val="%1"/>
      <w:numFmt w:val="lowerRoman"/>
      <w:start w:val="1"/>
    </w:lvl>
    <w:lvl w:ilvl="1">
      <w:lvlJc w:val="left"/>
      <w:lvlText w:val="%2."/>
      <w:numFmt w:val="decimal"/>
      <w:start w:val="7"/>
    </w:lvl>
  </w:abstractNum>
  <w:abstractNum w:abstractNumId="260">
    <w:nsid w:val="4382503"/>
    <w:multiLevelType w:val="hybridMultilevel"/>
    <w:lvl w:ilvl="0">
      <w:lvlJc w:val="left"/>
      <w:lvlText w:val="(%1)"/>
      <w:numFmt w:val="lowerRoman"/>
      <w:start w:val="7"/>
    </w:lvl>
    <w:lvl w:ilvl="1">
      <w:lvlJc w:val="left"/>
      <w:lvlText w:val="%2."/>
      <w:numFmt w:val="decimal"/>
      <w:start w:val="8"/>
    </w:lvl>
  </w:abstractNum>
  <w:abstractNum w:abstractNumId="261">
    <w:nsid w:val="59B76E28"/>
    <w:multiLevelType w:val="hybridMultilevel"/>
    <w:lvl w:ilvl="0">
      <w:lvlJc w:val="left"/>
      <w:lvlText w:val="%1."/>
      <w:numFmt w:val="decimal"/>
      <w:start w:val="9"/>
    </w:lvl>
  </w:abstractNum>
  <w:abstractNum w:abstractNumId="262">
    <w:nsid w:val="4252C2DA"/>
    <w:multiLevelType w:val="hybridMultilevel"/>
    <w:lvl w:ilvl="0">
      <w:lvlJc w:val="left"/>
      <w:lvlText w:val="(%1)"/>
      <w:numFmt w:val="lowerLetter"/>
      <w:start w:val="1"/>
    </w:lvl>
  </w:abstractNum>
  <w:abstractNum w:abstractNumId="263">
    <w:nsid w:val="6A92EF4C"/>
    <w:multiLevelType w:val="hybridMultilevel"/>
    <w:lvl w:ilvl="0">
      <w:lvlJc w:val="left"/>
      <w:lvlText w:val="%1"/>
      <w:numFmt w:val="lowerLetter"/>
      <w:start w:val="1"/>
    </w:lvl>
    <w:lvl w:ilvl="1">
      <w:lvlJc w:val="left"/>
      <w:lvlText w:val="(%2)"/>
      <w:numFmt w:val="lowerLetter"/>
      <w:start w:val="3"/>
    </w:lvl>
  </w:abstractNum>
  <w:abstractNum w:abstractNumId="264">
    <w:nsid w:val="41ED20D7"/>
    <w:multiLevelType w:val="hybridMultilevel"/>
    <w:lvl w:ilvl="0">
      <w:lvlJc w:val="left"/>
      <w:lvlText w:val="(%1)"/>
      <w:numFmt w:val="lowerLetter"/>
      <w:start w:val="9"/>
    </w:lvl>
    <w:lvl w:ilvl="1">
      <w:lvlJc w:val="left"/>
      <w:lvlText w:val="(%2)"/>
      <w:numFmt w:val="lowerLetter"/>
      <w:start w:val="4"/>
    </w:lvl>
  </w:abstractNum>
  <w:abstractNum w:abstractNumId="265">
    <w:nsid w:val="E6B3F6A"/>
    <w:multiLevelType w:val="hybridMultilevel"/>
    <w:lvl w:ilvl="0">
      <w:lvlJc w:val="left"/>
      <w:lvlText w:val="(%1)"/>
      <w:numFmt w:val="lowerLetter"/>
      <w:start w:val="5"/>
    </w:lvl>
  </w:abstractNum>
  <w:abstractNum w:abstractNumId="266">
    <w:nsid w:val="3EB21819"/>
    <w:multiLevelType w:val="hybridMultilevel"/>
    <w:lvl w:ilvl="0">
      <w:lvlJc w:val="left"/>
      <w:lvlText w:val="%1."/>
      <w:numFmt w:val="decimal"/>
      <w:start w:val="10"/>
    </w:lvl>
  </w:abstractNum>
  <w:abstractNum w:abstractNumId="267">
    <w:nsid w:val="41531DED"/>
    <w:multiLevelType w:val="hybridMultilevel"/>
    <w:lvl w:ilvl="0">
      <w:lvlJc w:val="left"/>
      <w:lvlText w:val="%1"/>
      <w:numFmt w:val="lowerLetter"/>
      <w:start w:val="1"/>
    </w:lvl>
    <w:lvl w:ilvl="1">
      <w:lvlJc w:val="left"/>
      <w:lvlText w:val="(%2)"/>
      <w:numFmt w:val="lowerLetter"/>
      <w:start w:val="1"/>
    </w:lvl>
  </w:abstractNum>
  <w:abstractNum w:abstractNumId="268">
    <w:nsid w:val="6353CD2"/>
    <w:multiLevelType w:val="hybridMultilevel"/>
    <w:lvl w:ilvl="0">
      <w:lvlJc w:val="left"/>
      <w:lvlText w:val="(%1)"/>
      <w:numFmt w:val="lowerLetter"/>
      <w:start w:val="9"/>
    </w:lvl>
    <w:lvl w:ilvl="1">
      <w:lvlJc w:val="left"/>
      <w:lvlText w:val="%2"/>
      <w:numFmt w:val="lowerLetter"/>
      <w:start w:val="1"/>
    </w:lvl>
  </w:abstractNum>
  <w:abstractNum w:abstractNumId="269">
    <w:nsid w:val="683CAAD3"/>
    <w:multiLevelType w:val="hybridMultilevel"/>
    <w:lvl w:ilvl="0">
      <w:lvlJc w:val="left"/>
      <w:lvlText w:val="(%1)"/>
      <w:numFmt w:val="lowerLetter"/>
      <w:start w:val="2"/>
    </w:lvl>
  </w:abstractNum>
  <w:abstractNum w:abstractNumId="270">
    <w:nsid w:val="313C7C99"/>
    <w:multiLevelType w:val="hybridMultilevel"/>
    <w:lvl w:ilvl="0">
      <w:lvlJc w:val="left"/>
      <w:lvlText w:val="(%1)"/>
      <w:numFmt w:val="lowerLetter"/>
      <w:start w:val="3"/>
    </w:lvl>
  </w:abstractNum>
  <w:abstractNum w:abstractNumId="271">
    <w:nsid w:val="519EB94C"/>
    <w:multiLevelType w:val="hybridMultilevel"/>
    <w:lvl w:ilvl="0">
      <w:lvlJc w:val="left"/>
      <w:lvlText w:val="%1."/>
      <w:numFmt w:val="decimal"/>
      <w:start w:val="11"/>
    </w:lvl>
  </w:abstractNum>
  <w:abstractNum w:abstractNumId="272">
    <w:nsid w:val="39DF2579"/>
    <w:multiLevelType w:val="hybridMultilevel"/>
    <w:lvl w:ilvl="0">
      <w:lvlJc w:val="left"/>
      <w:lvlText w:val="%1."/>
      <w:numFmt w:val="decimal"/>
      <w:start w:val="13"/>
    </w:lvl>
  </w:abstractNum>
  <w:abstractNum w:abstractNumId="273">
    <w:nsid w:val="126E008B"/>
    <w:multiLevelType w:val="hybridMultilevel"/>
    <w:lvl w:ilvl="0">
      <w:lvlJc w:val="left"/>
      <w:lvlText w:val="%1."/>
      <w:numFmt w:val="decimal"/>
      <w:start w:val="15"/>
    </w:lvl>
  </w:abstractNum>
  <w:abstractNum w:abstractNumId="274">
    <w:nsid w:val="34DFBC00"/>
    <w:multiLevelType w:val="hybridMultilevel"/>
    <w:lvl w:ilvl="0">
      <w:lvlJc w:val="left"/>
      <w:lvlText w:val="%1."/>
      <w:numFmt w:val="decimal"/>
      <w:start w:val="20"/>
    </w:lvl>
  </w:abstractNum>
  <w:abstractNum w:abstractNumId="275">
    <w:nsid w:val="1F9EC322"/>
    <w:multiLevelType w:val="hybridMultilevel"/>
    <w:lvl w:ilvl="0">
      <w:lvlJc w:val="left"/>
      <w:lvlText w:val="(%1)"/>
      <w:numFmt w:val="lowerLetter"/>
      <w:start w:val="1"/>
    </w:lvl>
  </w:abstractNum>
  <w:abstractNum w:abstractNumId="276">
    <w:nsid w:val="3410ED56"/>
    <w:multiLevelType w:val="hybridMultilevel"/>
    <w:lvl w:ilvl="0">
      <w:lvlJc w:val="left"/>
      <w:lvlText w:val="%1."/>
      <w:numFmt w:val="decimal"/>
      <w:start w:val="22"/>
    </w:lvl>
  </w:abstractNum>
  <w:abstractNum w:abstractNumId="277">
    <w:nsid w:val="23C049A"/>
    <w:multiLevelType w:val="hybridMultilevel"/>
    <w:lvl w:ilvl="0">
      <w:lvlJc w:val="left"/>
      <w:lvlText w:val="%1."/>
      <w:numFmt w:val="decimal"/>
      <w:start w:val="24"/>
    </w:lvl>
  </w:abstractNum>
  <w:abstractNum w:abstractNumId="278">
    <w:nsid w:val="5BDA35D4"/>
    <w:multiLevelType w:val="hybridMultilevel"/>
    <w:lvl w:ilvl="0">
      <w:lvlJc w:val="left"/>
      <w:lvlText w:val="%1."/>
      <w:numFmt w:val="decimal"/>
      <w:start w:val="1"/>
    </w:lvl>
  </w:abstractNum>
  <w:abstractNum w:abstractNumId="279">
    <w:nsid w:val="496FB218"/>
    <w:multiLevelType w:val="hybridMultilevel"/>
    <w:lvl w:ilvl="0">
      <w:lvlJc w:val="left"/>
      <w:lvlText w:val="%1."/>
      <w:numFmt w:val="decimal"/>
      <w:start w:val="1"/>
    </w:lvl>
  </w:abstractNum>
  <w:abstractNum w:abstractNumId="280">
    <w:nsid w:val="680EA5D1"/>
    <w:multiLevelType w:val="hybridMultilevel"/>
    <w:lvl w:ilvl="0">
      <w:lvlJc w:val="left"/>
      <w:lvlText w:val="%1."/>
      <w:numFmt w:val="decimal"/>
      <w:start w:val="1"/>
    </w:lvl>
  </w:abstractNum>
  <w:abstractNum w:abstractNumId="281">
    <w:nsid w:val="4A9554FE"/>
    <w:multiLevelType w:val="hybridMultilevel"/>
    <w:lvl w:ilvl="0">
      <w:lvlJc w:val="left"/>
      <w:lvlText w:val="1"/>
      <w:numFmt w:val="bullet"/>
      <w:start w:val="1"/>
    </w:lvl>
  </w:abstractNum>
  <w:abstractNum w:abstractNumId="282">
    <w:nsid w:val="392EDBE4"/>
    <w:multiLevelType w:val="hybridMultilevel"/>
    <w:lvl w:ilvl="0">
      <w:lvlJc w:val="left"/>
      <w:lvlText w:val="2"/>
      <w:numFmt w:val="bullet"/>
      <w:start w:val="1"/>
    </w:lvl>
  </w:abstractNum>
  <w:abstractNum w:abstractNumId="283">
    <w:nsid w:val="3D1A2DD9"/>
    <w:multiLevelType w:val="hybridMultilevel"/>
    <w:lvl w:ilvl="0">
      <w:lvlJc w:val="left"/>
      <w:lvlText w:val="3"/>
      <w:numFmt w:val="bullet"/>
      <w:start w:val="1"/>
    </w:lvl>
  </w:abstractNum>
  <w:abstractNum w:abstractNumId="284">
    <w:nsid w:val="7F618F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2019-12-08T11:29:00Z</dcterms:created>
  <dcterms:modified xsi:type="dcterms:W3CDTF">2019-12-08T11:29:00Z</dcterms:modified>
</cp:coreProperties>
</file>