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6725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6725920"/>
                    </a:xfrm>
                    <a:prstGeom prst="rect">
                      <a:avLst/>
                    </a:prstGeom>
                    <a:noFill/>
                  </pic:spPr>
                </pic:pic>
              </a:graphicData>
            </a:graphic>
          </wp:anchor>
        </w:drawing>
      </w:r>
    </w:p>
    <w:p>
      <w:pPr>
        <w:spacing w:after="0" w:line="1027" w:lineRule="exact"/>
        <w:rPr>
          <w:sz w:val="24"/>
          <w:szCs w:val="24"/>
          <w:color w:val="auto"/>
        </w:rPr>
      </w:pPr>
    </w:p>
    <w:p>
      <w:pPr>
        <w:sectPr>
          <w:pgSz w:w="11900" w:h="16838" w:orient="portrait"/>
          <w:cols w:equalWidth="0" w:num="2">
            <w:col w:w="2340" w:space="320"/>
            <w:col w:w="8420"/>
          </w:cols>
          <w:pgMar w:left="460" w:top="215" w:right="359" w:bottom="6"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Tam Benson Bing Chung</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Hello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MOMO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1820" w:type="dxa"/>
            <w:vAlign w:val="bottom"/>
            <w:vMerge w:val="restart"/>
          </w:tcPr>
          <w:p>
            <w:pPr>
              <w:ind w:left="58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line="146"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3840" w:type="dxa"/>
            <w:vAlign w:val="bottom"/>
            <w:gridSpan w:val="3"/>
            <w:vMerge w:val="continue"/>
          </w:tcPr>
          <w:p>
            <w:pPr>
              <w:spacing w:after="0"/>
              <w:rPr>
                <w:sz w:val="10"/>
                <w:szCs w:val="10"/>
                <w:color w:val="auto"/>
              </w:rPr>
            </w:pPr>
          </w:p>
        </w:tc>
        <w:tc>
          <w:tcPr>
            <w:tcW w:w="1820" w:type="dxa"/>
            <w:vAlign w:val="bottom"/>
          </w:tcPr>
          <w:p>
            <w:pPr>
              <w:ind w:left="58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5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04/06/2026</w:t>
            </w:r>
          </w:p>
        </w:tc>
        <w:tc>
          <w:tcPr>
            <w:tcW w:w="24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APT 16A, DRAGON VIEW, 39</w:t>
            </w:r>
          </w:p>
        </w:tc>
        <w:tc>
          <w:tcPr>
            <w:tcW w:w="124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2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MACDONNELL ROAD, MID LEVELS</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5" w:right="359" w:bottom="6" w:gutter="0" w:footer="0" w:header="0"/>
          <w:type w:val="continuous"/>
        </w:sectPr>
      </w:pP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HONG KONG</w:t>
            </w:r>
          </w:p>
        </w:tc>
        <w:tc>
          <w:tcPr>
            <w:tcW w:w="9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F4</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000000</w:t>
            </w:r>
          </w:p>
        </w:tc>
      </w:tr>
      <w:tr>
        <w:trPr>
          <w:trHeight w:val="146"/>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66" w:lineRule="exact"/>
        <w:rPr>
          <w:sz w:val="20"/>
          <w:szCs w:val="20"/>
          <w:color w:val="auto"/>
        </w:rPr>
      </w:pPr>
    </w:p>
    <w:p>
      <w:pPr>
        <w:sectPr>
          <w:pgSz w:w="11900" w:h="16838" w:orient="portrait"/>
          <w:cols w:equalWidth="0" w:num="2">
            <w:col w:w="7540" w:space="720"/>
            <w:col w:w="2820"/>
          </w:cols>
          <w:pgMar w:left="460" w:top="215" w:right="359" w:bottom="6"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jc w:val="center"/>
              <w:ind w:left="638"/>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900"/>
              <w:spacing w:after="0"/>
              <w:rPr>
                <w:sz w:val="20"/>
                <w:szCs w:val="20"/>
                <w:color w:val="auto"/>
              </w:rPr>
            </w:pPr>
            <w:r>
              <w:rPr>
                <w:rFonts w:ascii="Arial" w:cs="Arial" w:eastAsia="Arial" w:hAnsi="Arial"/>
                <w:sz w:val="11"/>
                <w:szCs w:val="11"/>
                <w:b w:val="1"/>
                <w:bCs w:val="1"/>
                <w:color w:val="auto"/>
              </w:rPr>
              <w:t>Date</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jc w:val="center"/>
              <w:ind w:left="798"/>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American Depositary Shares</w:t>
            </w:r>
            <w:r>
              <w:rPr>
                <w:rFonts w:ascii="Times New Roman" w:cs="Times New Roman" w:eastAsia="Times New Roman" w:hAnsi="Times New Roman"/>
                <w:sz w:val="20"/>
                <w:szCs w:val="20"/>
                <w:color w:val="008000"/>
                <w:vertAlign w:val="superscript"/>
              </w:rPr>
              <w:t>(1)</w:t>
            </w: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0000FF"/>
              </w:rPr>
              <w:t>04/06/2026</w:t>
            </w: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w w:val="99"/>
              </w:rPr>
              <w:t>1,562</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239,234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American Depositary Shares</w:t>
            </w:r>
            <w:r>
              <w:rPr>
                <w:rFonts w:ascii="Times New Roman" w:cs="Times New Roman" w:eastAsia="Times New Roman" w:hAnsi="Times New Roman"/>
                <w:sz w:val="20"/>
                <w:szCs w:val="20"/>
                <w:color w:val="008000"/>
                <w:vertAlign w:val="superscript"/>
              </w:rPr>
              <w:t>(1)</w:t>
            </w: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0000FF"/>
              </w:rPr>
              <w:t>04/07/2026</w:t>
            </w: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w w:val="99"/>
              </w:rPr>
              <w:t>6,250</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245,484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American Depositary Shares</w:t>
            </w:r>
            <w:r>
              <w:rPr>
                <w:rFonts w:ascii="Times New Roman" w:cs="Times New Roman" w:eastAsia="Times New Roman" w:hAnsi="Times New Roman"/>
                <w:sz w:val="20"/>
                <w:szCs w:val="20"/>
                <w:color w:val="008000"/>
                <w:vertAlign w:val="superscript"/>
              </w:rPr>
              <w:t>(1)</w:t>
            </w: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0000FF"/>
              </w:rPr>
              <w:t>04/08/2026</w:t>
            </w: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w w:val="99"/>
              </w:rPr>
              <w:t>1,562</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247,046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9"/>
              </w:rPr>
              <w:t>of Securities</w:t>
            </w:r>
          </w:p>
        </w:tc>
        <w:tc>
          <w:tcPr>
            <w:tcW w:w="54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w w:val="99"/>
              </w:rPr>
              <w:t>(Month/Day/Year)</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 of</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and 5)</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72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tcPr>
          <w:p>
            <w:pPr>
              <w:spacing w:after="0"/>
              <w:rPr>
                <w:sz w:val="12"/>
                <w:szCs w:val="12"/>
                <w:color w:val="auto"/>
              </w:rPr>
            </w:pP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50,000</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04/07/2026</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340"/>
              <w:spacing w:after="0" w:line="138" w:lineRule="exact"/>
              <w:rPr>
                <w:sz w:val="20"/>
                <w:szCs w:val="20"/>
                <w:color w:val="auto"/>
              </w:rPr>
            </w:pPr>
            <w:r>
              <w:rPr>
                <w:rFonts w:ascii="Times New Roman" w:cs="Times New Roman" w:eastAsia="Times New Roman" w:hAnsi="Times New Roman"/>
                <w:sz w:val="13"/>
                <w:szCs w:val="13"/>
                <w:color w:val="0000FF"/>
                <w:w w:val="84"/>
              </w:rPr>
              <w:t>A</w:t>
            </w:r>
          </w:p>
        </w:tc>
        <w:tc>
          <w:tcPr>
            <w:tcW w:w="4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50,000</w:t>
            </w:r>
          </w:p>
        </w:tc>
        <w:tc>
          <w:tcPr>
            <w:tcW w:w="5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04/07/2036</w:t>
            </w: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shares, par</w:t>
            </w:r>
          </w:p>
        </w:tc>
        <w:tc>
          <w:tcPr>
            <w:tcW w:w="54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line="138" w:lineRule="exact"/>
              <w:rPr>
                <w:sz w:val="20"/>
                <w:szCs w:val="20"/>
                <w:color w:val="auto"/>
              </w:rPr>
            </w:pPr>
            <w:r>
              <w:rPr>
                <w:rFonts w:ascii="Times New Roman" w:cs="Times New Roman" w:eastAsia="Times New Roman" w:hAnsi="Times New Roman"/>
                <w:sz w:val="13"/>
                <w:szCs w:val="13"/>
                <w:color w:val="0000FF"/>
              </w:rPr>
              <w:t>50,000</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center"/>
              <w:ind w:right="17"/>
              <w:spacing w:after="0" w:line="138" w:lineRule="exact"/>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5"/>
              </w:rPr>
              <w:t>US$0.0001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spacing w:after="0"/>
              <w:rPr>
                <w:sz w:val="12"/>
                <w:szCs w:val="12"/>
                <w:color w:val="auto"/>
              </w:rPr>
            </w:pP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3,125</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04/06/2026</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3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2"/>
                <w:szCs w:val="12"/>
                <w:color w:val="auto"/>
              </w:rPr>
            </w:pPr>
          </w:p>
        </w:tc>
        <w:tc>
          <w:tcPr>
            <w:tcW w:w="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3,125</w:t>
            </w:r>
          </w:p>
        </w:tc>
        <w:tc>
          <w:tcPr>
            <w:tcW w:w="780" w:type="dxa"/>
            <w:vAlign w:val="bottom"/>
            <w:gridSpan w:val="2"/>
            <w:vMerge w:val="continue"/>
          </w:tcPr>
          <w:p>
            <w:pPr>
              <w:spacing w:after="0"/>
              <w:rPr>
                <w:sz w:val="12"/>
                <w:szCs w:val="12"/>
                <w:color w:val="auto"/>
              </w:rPr>
            </w:pPr>
          </w:p>
        </w:tc>
        <w:tc>
          <w:tcPr>
            <w:tcW w:w="6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04/06/2033</w:t>
            </w: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shares, par</w:t>
            </w:r>
          </w:p>
        </w:tc>
        <w:tc>
          <w:tcPr>
            <w:tcW w:w="54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line="138" w:lineRule="exact"/>
              <w:rPr>
                <w:sz w:val="20"/>
                <w:szCs w:val="20"/>
                <w:color w:val="auto"/>
              </w:rPr>
            </w:pPr>
            <w:r>
              <w:rPr>
                <w:rFonts w:ascii="Times New Roman" w:cs="Times New Roman" w:eastAsia="Times New Roman" w:hAnsi="Times New Roman"/>
                <w:sz w:val="13"/>
                <w:szCs w:val="13"/>
                <w:color w:val="0000FF"/>
              </w:rPr>
              <w:t>12,501</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center"/>
              <w:ind w:right="17"/>
              <w:spacing w:after="0" w:line="138" w:lineRule="exact"/>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5"/>
              </w:rPr>
              <w:t>US$0.0001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tcPr>
          <w:p>
            <w:pPr>
              <w:spacing w:after="0"/>
              <w:rPr>
                <w:sz w:val="12"/>
                <w:szCs w:val="12"/>
                <w:color w:val="auto"/>
              </w:rPr>
            </w:pP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12,500</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04/07/2026</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3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2"/>
                <w:szCs w:val="12"/>
                <w:color w:val="auto"/>
              </w:rPr>
            </w:pPr>
          </w:p>
        </w:tc>
        <w:tc>
          <w:tcPr>
            <w:tcW w:w="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12,500</w:t>
            </w:r>
          </w:p>
        </w:tc>
        <w:tc>
          <w:tcPr>
            <w:tcW w:w="780" w:type="dxa"/>
            <w:vAlign w:val="bottom"/>
            <w:gridSpan w:val="2"/>
            <w:vMerge w:val="continue"/>
          </w:tcPr>
          <w:p>
            <w:pPr>
              <w:spacing w:after="0"/>
              <w:rPr>
                <w:sz w:val="12"/>
                <w:szCs w:val="12"/>
                <w:color w:val="auto"/>
              </w:rPr>
            </w:pPr>
          </w:p>
        </w:tc>
        <w:tc>
          <w:tcPr>
            <w:tcW w:w="6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04/07/2035</w:t>
            </w: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shares, par</w:t>
            </w:r>
          </w:p>
        </w:tc>
        <w:tc>
          <w:tcPr>
            <w:tcW w:w="54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line="138" w:lineRule="exact"/>
              <w:rPr>
                <w:sz w:val="20"/>
                <w:szCs w:val="20"/>
                <w:color w:val="auto"/>
              </w:rPr>
            </w:pPr>
            <w:r>
              <w:rPr>
                <w:rFonts w:ascii="Times New Roman" w:cs="Times New Roman" w:eastAsia="Times New Roman" w:hAnsi="Times New Roman"/>
                <w:sz w:val="13"/>
                <w:szCs w:val="13"/>
                <w:color w:val="0000FF"/>
              </w:rPr>
              <w:t>37,500</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center"/>
              <w:ind w:right="17"/>
              <w:spacing w:after="0" w:line="138" w:lineRule="exact"/>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5"/>
              </w:rPr>
              <w:t>US$0.0001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tcPr>
          <w:p>
            <w:pPr>
              <w:spacing w:after="0"/>
              <w:rPr>
                <w:sz w:val="12"/>
                <w:szCs w:val="12"/>
                <w:color w:val="auto"/>
              </w:rPr>
            </w:pP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ordinary</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3,125</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04/08/2026</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3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2"/>
                <w:szCs w:val="12"/>
                <w:color w:val="auto"/>
              </w:rPr>
            </w:pPr>
          </w:p>
        </w:tc>
        <w:tc>
          <w:tcPr>
            <w:tcW w:w="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3,125</w:t>
            </w:r>
          </w:p>
        </w:tc>
        <w:tc>
          <w:tcPr>
            <w:tcW w:w="780" w:type="dxa"/>
            <w:vAlign w:val="bottom"/>
            <w:gridSpan w:val="2"/>
            <w:vMerge w:val="continue"/>
          </w:tcPr>
          <w:p>
            <w:pPr>
              <w:spacing w:after="0"/>
              <w:rPr>
                <w:sz w:val="12"/>
                <w:szCs w:val="12"/>
                <w:color w:val="auto"/>
              </w:rPr>
            </w:pPr>
          </w:p>
        </w:tc>
        <w:tc>
          <w:tcPr>
            <w:tcW w:w="68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04/08/2034</w:t>
            </w:r>
          </w:p>
        </w:tc>
        <w:tc>
          <w:tcPr>
            <w:tcW w:w="7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shares, par</w:t>
            </w:r>
          </w:p>
        </w:tc>
        <w:tc>
          <w:tcPr>
            <w:tcW w:w="540" w:type="dxa"/>
            <w:vAlign w:val="bottom"/>
            <w:vMerge w:val="continue"/>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line="138" w:lineRule="exact"/>
              <w:rPr>
                <w:sz w:val="20"/>
                <w:szCs w:val="20"/>
                <w:color w:val="auto"/>
              </w:rPr>
            </w:pPr>
            <w:r>
              <w:rPr>
                <w:rFonts w:ascii="Times New Roman" w:cs="Times New Roman" w:eastAsia="Times New Roman" w:hAnsi="Times New Roman"/>
                <w:sz w:val="13"/>
                <w:szCs w:val="13"/>
                <w:color w:val="0000FF"/>
              </w:rPr>
              <w:t>25,001</w:t>
            </w:r>
          </w:p>
        </w:tc>
        <w:tc>
          <w:tcPr>
            <w:tcW w:w="64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center"/>
              <w:ind w:right="17"/>
              <w:spacing w:after="0" w:line="138" w:lineRule="exact"/>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5"/>
              </w:rPr>
              <w:t>US$0.0001</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-3529965</wp:posOffset>
            </wp:positionV>
            <wp:extent cx="28575" cy="3535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53504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represents two Class A ordinary shares.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represents a contingent right to receive, when vested, one Class A ordinary share.</w:t>
      </w:r>
    </w:p>
    <w:p>
      <w:pPr>
        <w:spacing w:after="0" w:line="38" w:lineRule="exact"/>
        <w:rPr>
          <w:rFonts w:ascii="Times New Roman" w:cs="Times New Roman" w:eastAsia="Times New Roman" w:hAnsi="Times New Roman"/>
          <w:sz w:val="13"/>
          <w:szCs w:val="13"/>
          <w:color w:val="008000"/>
        </w:rPr>
      </w:pPr>
    </w:p>
    <w:p>
      <w:pPr>
        <w:ind w:left="40" w:right="3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 vests over a four-year period, with one-fourth of restricted share units vest on April 7, 2027, and the rest of the restricted share units vest per quarter in twelve equal installments, starting from July 7, 2027, subject to the reporting person's continued service through the applicable vesting date.</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were vested on April 6, 2026.</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were vested on April 7, 2026.</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were vested on April 8, 2026.</w:t>
      </w:r>
    </w:p>
    <w:p>
      <w:pPr>
        <w:spacing w:after="0" w:line="5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Benson Bing Chung Tam</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04/09/2026</w:t>
            </w:r>
          </w:p>
        </w:tc>
      </w:tr>
      <w:tr>
        <w:trPr>
          <w:trHeight w:val="221"/>
        </w:trPr>
        <w:tc>
          <w:tcPr>
            <w:tcW w:w="184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6"/>
              </w:rPr>
              <w:t>** Signature of Reporting Person</w:t>
            </w:r>
          </w:p>
        </w:tc>
        <w:tc>
          <w:tcPr>
            <w:tcW w:w="36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800" w:hanging="2"/>
        <w:spacing w:after="0" w:line="32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9968" TargetMode="External"/><Relationship Id="rId14" Type="http://schemas.openxmlformats.org/officeDocument/2006/relationships/hyperlink" Target="http://www.sec.gov/cgi-bin/browse-edgar?action=getcompany&amp;CIK=0001610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2026-04-09T07:07:32Z</dcterms:created>
  <dcterms:modified xsi:type="dcterms:W3CDTF">2026-04-09T07:07:32Z</dcterms:modified>
</cp:coreProperties>
</file>