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163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163560"/>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Peng Cathy Hui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Hello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MOMO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85"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203, BLOCK A10,</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JIUXIANQIAO</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NORTH ROAD, CHAOYANG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DISTRICT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Chief Finance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85"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05/17/2027</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8"/>
              </w:rPr>
              <w:t>18,750</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12/05/2027</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8"/>
              </w:rPr>
              <w:t>25,126</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05/17/2029</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8"/>
              </w:rPr>
              <w:t>45,000</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05/28/2030</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8"/>
              </w:rPr>
              <w:t>60,000</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07/01/2031</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8"/>
              </w:rPr>
              <w:t>60,000</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04/15/2032</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5"/>
              </w:rPr>
              <w:t>150,000</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04/06/2033</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5"/>
              </w:rPr>
              <w:t>406,808</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04/08/2034</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5"/>
              </w:rPr>
              <w:t>527,626</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04/07/2035</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5"/>
              </w:rPr>
              <w:t>398,730</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are fully vested and exercisable as of the date of this form.</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140,625 options are fully vested and exercisable as of the date of this form. 9,375 options vest on April 15,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279,681 options are fully vested and exercisable as of the date of this form. The rest of the options vest per quarter in five equal installments, starting from April 6,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230,836 options are fully vested and exercisable as of the date of this form. The rest of the options vest per quarter in nine equal installments, starting from April 8, 2026.</w:t>
      </w:r>
    </w:p>
    <w:p>
      <w:pPr>
        <w:sectPr>
          <w:pgSz w:w="11900" w:h="16885"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5. One fourth of options vest on April 7, 2026, the rest vest per quarter in twelve equal installments, starting from July 7,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Hui Peng</w:t>
            </w:r>
          </w:p>
        </w:tc>
        <w:tc>
          <w:tcPr>
            <w:tcW w:w="12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0149" TargetMode="External"/><Relationship Id="rId11" Type="http://schemas.openxmlformats.org/officeDocument/2006/relationships/hyperlink" Target="http://www.sec.gov/cgi-bin/browse-edgar?action=getcompany&amp;CIK=0001610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2026-03-16T15:15:26Z</dcterms:created>
  <dcterms:modified xsi:type="dcterms:W3CDTF">2026-03-16T15:15:26Z</dcterms:modified>
</cp:coreProperties>
</file>