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1063625</wp:posOffset>
            </wp:positionH>
            <wp:positionV relativeFrom="page">
              <wp:posOffset>148590</wp:posOffset>
            </wp:positionV>
            <wp:extent cx="542226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22265" cy="6350"/>
                    </a:xfrm>
                    <a:prstGeom prst="rect">
                      <a:avLst/>
                    </a:prstGeom>
                    <a:noFill/>
                  </pic:spPr>
                </pic:pic>
              </a:graphicData>
            </a:graphic>
          </wp:anchor>
        </w:drawing>
        <w:drawing>
          <wp:anchor simplePos="0" relativeHeight="251657728" behindDoc="1" locked="0" layoutInCell="0" allowOverlap="1">
            <wp:simplePos x="0" y="0"/>
            <wp:positionH relativeFrom="page">
              <wp:posOffset>1063625</wp:posOffset>
            </wp:positionH>
            <wp:positionV relativeFrom="page">
              <wp:posOffset>182245</wp:posOffset>
            </wp:positionV>
            <wp:extent cx="54222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22265" cy="635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2288540</wp:posOffset>
            </wp:positionH>
            <wp:positionV relativeFrom="paragraph">
              <wp:posOffset>170180</wp:posOffset>
            </wp:positionV>
            <wp:extent cx="11430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2288540</wp:posOffset>
            </wp:positionH>
            <wp:positionV relativeFrom="paragraph">
              <wp:posOffset>192405</wp:posOffset>
            </wp:positionV>
            <wp:extent cx="11430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month of March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2288540</wp:posOffset>
            </wp:positionH>
            <wp:positionV relativeFrom="paragraph">
              <wp:posOffset>194310</wp:posOffset>
            </wp:positionV>
            <wp:extent cx="11430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2288540</wp:posOffset>
            </wp:positionH>
            <wp:positionV relativeFrom="paragraph">
              <wp:posOffset>187325</wp:posOffset>
            </wp:positionV>
            <wp:extent cx="11430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Hello Group Inc.</w:t>
      </w:r>
    </w:p>
    <w:p>
      <w:pPr>
        <w:spacing w:after="0" w:line="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2288540</wp:posOffset>
            </wp:positionH>
            <wp:positionV relativeFrom="paragraph">
              <wp:posOffset>175895</wp:posOffset>
            </wp:positionV>
            <wp:extent cx="11430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Building 203, Block A10</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Jiuxianqiao North Road</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Chaoyang District, Beijing 100015</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People’s Republic of China</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2288540</wp:posOffset>
            </wp:positionH>
            <wp:positionV relativeFrom="paragraph">
              <wp:posOffset>175260</wp:posOffset>
            </wp:positionV>
            <wp:extent cx="11430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43" w:lineRule="exact"/>
        <w:rPr>
          <w:sz w:val="24"/>
          <w:szCs w:val="24"/>
          <w:color w:val="auto"/>
        </w:rPr>
      </w:pPr>
    </w:p>
    <w:p>
      <w:pPr>
        <w:jc w:val="center"/>
        <w:ind w:right="19"/>
        <w:spacing w:after="0" w:line="161" w:lineRule="exact"/>
        <w:rPr>
          <w:sz w:val="20"/>
          <w:szCs w:val="20"/>
          <w:color w:val="auto"/>
        </w:rPr>
      </w:pPr>
      <w:r>
        <w:rPr>
          <w:rFonts w:ascii="Times New Roman" w:cs="Times New Roman" w:eastAsia="Times New Roman" w:hAnsi="Times New Roman"/>
          <w:sz w:val="14"/>
          <w:szCs w:val="14"/>
          <w:color w:val="auto"/>
        </w:rPr>
        <w:t xml:space="preserve">Form 20-F 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40-F 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149225</wp:posOffset>
            </wp:positionH>
            <wp:positionV relativeFrom="paragraph">
              <wp:posOffset>146050</wp:posOffset>
            </wp:positionV>
            <wp:extent cx="542226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22265" cy="635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179705</wp:posOffset>
            </wp:positionV>
            <wp:extent cx="542226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22265" cy="6350"/>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Index</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Exhibit 99.1—</w:t>
      </w:r>
      <w:r>
        <w:rPr>
          <w:rFonts w:ascii="Times New Roman" w:cs="Times New Roman" w:eastAsia="Times New Roman" w:hAnsi="Times New Roman"/>
          <w:sz w:val="14"/>
          <w:szCs w:val="14"/>
          <w:u w:val="single" w:color="auto"/>
          <w:color w:val="0000EE"/>
        </w:rPr>
        <w:t>Press Release</w:t>
      </w:r>
    </w:p>
    <w:p>
      <w:pPr>
        <w:sectPr>
          <w:pgSz w:w="11900" w:h="16838" w:orient="portrait"/>
          <w:cols w:equalWidth="0" w:num="1">
            <w:col w:w="9019"/>
          </w:cols>
          <w:pgMar w:left="1440" w:top="24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SIGNATURES</w:t>
      </w:r>
    </w:p>
    <w:p>
      <w:pPr>
        <w:spacing w:after="0" w:line="176" w:lineRule="exact"/>
        <w:rPr>
          <w:sz w:val="20"/>
          <w:szCs w:val="20"/>
          <w:color w:val="auto"/>
        </w:rPr>
      </w:pPr>
    </w:p>
    <w:p>
      <w:pPr>
        <w:ind w:left="240" w:right="479" w:firstLine="341"/>
        <w:spacing w:after="0" w:line="28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Hello Group Inc.</w:t>
      </w:r>
    </w:p>
    <w:p>
      <w:pPr>
        <w:spacing w:after="0" w:line="176"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Cathy Hui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13335</wp:posOffset>
            </wp:positionV>
            <wp:extent cx="188023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0235" cy="6350"/>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Cathy Hui Peng</w:t>
      </w:r>
    </w:p>
    <w:p>
      <w:pPr>
        <w:spacing w:after="0" w:line="21"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Date: March 18, 2026</w:t>
      </w:r>
    </w:p>
    <w:p>
      <w:pPr>
        <w:sectPr>
          <w:pgSz w:w="11900" w:h="16838" w:orient="portrait"/>
          <w:cols w:equalWidth="0" w:num="1">
            <w:col w:w="9019"/>
          </w:cols>
          <w:pgMar w:left="1440" w:top="238" w:right="1440" w:bottom="1440" w:gutter="0" w:footer="0" w:header="0"/>
        </w:sectPr>
      </w:pPr>
    </w:p>
    <w:bookmarkStart w:id="3" w:name="page4"/>
    <w:bookmarkEnd w:id="3"/>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Hello Group Inc. Announces Unaudited Financial Results for the Fourth Quarter and Fiscal Year 2025</w:t>
      </w:r>
    </w:p>
    <w:p>
      <w:pPr>
        <w:spacing w:after="0" w:line="92" w:lineRule="exact"/>
        <w:rPr>
          <w:sz w:val="20"/>
          <w:szCs w:val="20"/>
          <w:color w:val="auto"/>
        </w:rPr>
      </w:pPr>
    </w:p>
    <w:p>
      <w:pPr>
        <w:ind w:left="240" w:right="599"/>
        <w:spacing w:after="0" w:line="281" w:lineRule="auto"/>
        <w:rPr>
          <w:sz w:val="20"/>
          <w:szCs w:val="20"/>
          <w:color w:val="auto"/>
        </w:rPr>
      </w:pPr>
      <w:r>
        <w:rPr>
          <w:rFonts w:ascii="Times New Roman" w:cs="Times New Roman" w:eastAsia="Times New Roman" w:hAnsi="Times New Roman"/>
          <w:sz w:val="14"/>
          <w:szCs w:val="14"/>
          <w:color w:val="auto"/>
        </w:rPr>
        <w:t>BEIJING, CHINA, March 18, 2026 – Hello Group Inc. (NASDAQ: MOMO) (“Hello Group” or the “Company”), a leading player in Asia’s online social networking space, today announced its unaudited financial results for the fourth quarter and the full year ended December 31, 2025.</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Fourth Quarter of 2025 Highlights</w:t>
      </w:r>
    </w:p>
    <w:p>
      <w:pPr>
        <w:spacing w:after="0" w:line="103" w:lineRule="exact"/>
        <w:rPr>
          <w:sz w:val="20"/>
          <w:szCs w:val="20"/>
          <w:color w:val="auto"/>
        </w:rPr>
      </w:pPr>
    </w:p>
    <w:p>
      <w:pPr>
        <w:ind w:left="980" w:hanging="327"/>
        <w:spacing w:after="0"/>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decreased by 2.3% year over year to RMB2,575.8 million (US$368.3 million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in the fourth quarter of 2025.</w:t>
      </w:r>
    </w:p>
    <w:p>
      <w:pPr>
        <w:spacing w:after="0" w:line="47"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overseas increased by 70.3% year over year to RMB608.2 million (US$87.0 million) in the fourth quarter of 2025.</w:t>
      </w:r>
    </w:p>
    <w:p>
      <w:pPr>
        <w:spacing w:after="0" w:line="84" w:lineRule="exact"/>
        <w:rPr>
          <w:rFonts w:ascii="Times New Roman" w:cs="Times New Roman" w:eastAsia="Times New Roman" w:hAnsi="Times New Roman"/>
          <w:sz w:val="14"/>
          <w:szCs w:val="14"/>
          <w:color w:val="auto"/>
        </w:rPr>
      </w:pPr>
    </w:p>
    <w:p>
      <w:pPr>
        <w:ind w:left="980" w:right="799" w:hanging="327"/>
        <w:spacing w:after="0" w:line="281" w:lineRule="auto"/>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attributable to Hello Group Inc. was RMB237.3 million (US$33.9 million) in the fourth quarter of 2025, compared to RMB187.2 million in the same period of 2024.</w:t>
      </w:r>
    </w:p>
    <w:p>
      <w:pPr>
        <w:spacing w:after="0" w:line="52" w:lineRule="exact"/>
        <w:rPr>
          <w:rFonts w:ascii="Times New Roman" w:cs="Times New Roman" w:eastAsia="Times New Roman" w:hAnsi="Times New Roman"/>
          <w:sz w:val="14"/>
          <w:szCs w:val="14"/>
          <w:color w:val="auto"/>
        </w:rPr>
      </w:pPr>
    </w:p>
    <w:p>
      <w:pPr>
        <w:ind w:left="980" w:right="379" w:hanging="327"/>
        <w:spacing w:after="0" w:line="281" w:lineRule="auto"/>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income attributable to Hello Group Inc. (note 1) was RMB281.3 million (US$40.2 million) in the fourth quarter of 2025, compared to RMB230.5 million in the same period of 2024.</w:t>
      </w:r>
    </w:p>
    <w:p>
      <w:pPr>
        <w:spacing w:after="0" w:line="52" w:lineRule="exact"/>
        <w:rPr>
          <w:rFonts w:ascii="Times New Roman" w:cs="Times New Roman" w:eastAsia="Times New Roman" w:hAnsi="Times New Roman"/>
          <w:sz w:val="14"/>
          <w:szCs w:val="14"/>
          <w:color w:val="auto"/>
        </w:rPr>
      </w:pPr>
    </w:p>
    <w:p>
      <w:pPr>
        <w:ind w:left="980" w:right="799" w:hanging="327"/>
        <w:spacing w:after="0" w:line="281" w:lineRule="auto"/>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net income per American Depositary Share (“ADS”) was RMB1.44 (US$0.21) in the fourth quarter of 2025, compared to RMB1.05 in the same period of 2024.</w:t>
      </w:r>
    </w:p>
    <w:p>
      <w:pPr>
        <w:spacing w:after="0" w:line="52" w:lineRule="exact"/>
        <w:rPr>
          <w:rFonts w:ascii="Times New Roman" w:cs="Times New Roman" w:eastAsia="Times New Roman" w:hAnsi="Times New Roman"/>
          <w:sz w:val="14"/>
          <w:szCs w:val="14"/>
          <w:color w:val="auto"/>
        </w:rPr>
      </w:pPr>
    </w:p>
    <w:p>
      <w:pPr>
        <w:ind w:left="980" w:right="519" w:hanging="327"/>
        <w:spacing w:after="0" w:line="281" w:lineRule="auto"/>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diluted net income per ADS (note 1) was RMB1.70 (US$0.24) in the fourth quarter of 2025, compared to RMB1.30 in the same period of 2024.</w:t>
      </w:r>
    </w:p>
    <w:p>
      <w:pPr>
        <w:spacing w:after="0" w:line="52" w:lineRule="exact"/>
        <w:rPr>
          <w:rFonts w:ascii="Times New Roman" w:cs="Times New Roman" w:eastAsia="Times New Roman" w:hAnsi="Times New Roman"/>
          <w:sz w:val="14"/>
          <w:szCs w:val="14"/>
          <w:color w:val="auto"/>
        </w:rPr>
      </w:pPr>
    </w:p>
    <w:p>
      <w:pPr>
        <w:jc w:val="both"/>
        <w:ind w:left="980" w:right="319" w:hanging="327"/>
        <w:spacing w:after="0" w:line="265" w:lineRule="auto"/>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Momo app total paying users was 3.9 million for the fourth quarter of 2025, compared to 5.7 million for the same period last year, and 3.7 million from last quarter. Tantan had 0.6 million paying users for the fourth quarter of 2025 compared to 0.9 million from the year ago period and 0.7 million from last quarter.</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Full Year 2025 Highlights</w:t>
      </w:r>
    </w:p>
    <w:p>
      <w:pPr>
        <w:spacing w:after="0" w:line="103" w:lineRule="exact"/>
        <w:rPr>
          <w:sz w:val="20"/>
          <w:szCs w:val="20"/>
          <w:color w:val="auto"/>
        </w:rPr>
      </w:pPr>
    </w:p>
    <w:p>
      <w:pPr>
        <w:ind w:left="980" w:hanging="327"/>
        <w:spacing w:after="0"/>
        <w:tabs>
          <w:tab w:leader="none" w:pos="98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decreased by 1.9% year over year to RMB10,367.1 million (US$1,482.5 million) for the full year of 2025.</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overseas increased by 70.8% year over year to RMB2,000.0 million (US$286.0 million) for the full year of 2025.</w:t>
      </w:r>
    </w:p>
    <w:p>
      <w:pPr>
        <w:spacing w:after="0" w:line="100" w:lineRule="exact"/>
        <w:rPr>
          <w:rFonts w:ascii="Times New Roman" w:cs="Times New Roman" w:eastAsia="Times New Roman" w:hAnsi="Times New Roman"/>
          <w:sz w:val="14"/>
          <w:szCs w:val="14"/>
          <w:color w:val="auto"/>
        </w:rPr>
      </w:pPr>
    </w:p>
    <w:p>
      <w:pPr>
        <w:ind w:left="980" w:right="979" w:hanging="327"/>
        <w:spacing w:after="0" w:line="281" w:lineRule="auto"/>
        <w:tabs>
          <w:tab w:leader="none" w:pos="98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attributable to Hello Group Inc. was RMB804.0 million (US$115.0 million) for the full year of 2025, compared to RMB1,039.6 million during the same period of 2024.</w:t>
      </w:r>
    </w:p>
    <w:p>
      <w:pPr>
        <w:spacing w:after="0" w:line="52" w:lineRule="exact"/>
        <w:rPr>
          <w:rFonts w:ascii="Times New Roman" w:cs="Times New Roman" w:eastAsia="Times New Roman" w:hAnsi="Times New Roman"/>
          <w:sz w:val="14"/>
          <w:szCs w:val="14"/>
          <w:color w:val="auto"/>
        </w:rPr>
      </w:pPr>
    </w:p>
    <w:p>
      <w:pPr>
        <w:ind w:left="980" w:right="559" w:hanging="327"/>
        <w:spacing w:after="0" w:line="281" w:lineRule="auto"/>
        <w:tabs>
          <w:tab w:leader="none" w:pos="98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income attributable to Hello Group Inc. (note 1) was RMB993.5 million (US$142.1 million) for the full year of 2025, compared to RMB1,232.9 million during the same period of 2024.</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net income per ADS was RMB4.75 (US$0.68) for the full year of 2025, compared to RMB5.57 during the same period of 2024.</w:t>
      </w:r>
    </w:p>
    <w:p>
      <w:pPr>
        <w:spacing w:after="0" w:line="100" w:lineRule="exact"/>
        <w:rPr>
          <w:rFonts w:ascii="Times New Roman" w:cs="Times New Roman" w:eastAsia="Times New Roman" w:hAnsi="Times New Roman"/>
          <w:sz w:val="14"/>
          <w:szCs w:val="14"/>
          <w:color w:val="auto"/>
        </w:rPr>
      </w:pPr>
    </w:p>
    <w:p>
      <w:pPr>
        <w:ind w:left="980" w:right="499" w:hanging="327"/>
        <w:spacing w:after="0" w:line="281" w:lineRule="auto"/>
        <w:tabs>
          <w:tab w:leader="none" w:pos="98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diluted net income per ADS (note 1) was RMB5.87 (US$0.84) for the full year of 2025, compared to RMB6.60 during the same period of 2024.</w:t>
      </w:r>
    </w:p>
    <w:p>
      <w:pPr>
        <w:spacing w:after="0" w:line="104" w:lineRule="exact"/>
        <w:rPr>
          <w:rFonts w:ascii="Times New Roman" w:cs="Times New Roman" w:eastAsia="Times New Roman" w:hAnsi="Times New Roman"/>
          <w:sz w:val="14"/>
          <w:szCs w:val="14"/>
          <w:color w:val="auto"/>
        </w:rPr>
      </w:pPr>
    </w:p>
    <w:p>
      <w:pPr>
        <w:ind w:left="560" w:right="399" w:hanging="335"/>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This press release contains translations of certain Renminbi amounts into U.S. dollars at specified rate solely for the convenience of readers. Unless otherwise noted, all translations from Renminbi to U.S. dollars, in this press release, were made at a rate of RMB 6.9931 to US$1.00, the effective noon buying rate for December 31, 2025 as set forth in the H.10 statistical release of the Federal Reserve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-348615</wp:posOffset>
            </wp:positionV>
            <wp:extent cx="59817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3" w:right="1440" w:bottom="1440" w:gutter="0" w:footer="0" w:header="0"/>
        </w:sectPr>
      </w:pPr>
    </w:p>
    <w:bookmarkStart w:id="4" w:name="page5"/>
    <w:bookmarkEnd w:id="4"/>
    <w:p>
      <w:pPr>
        <w:ind w:left="240" w:right="31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the second half of 2025, our domestic business faced fresh external headwinds. That said, through the team’s agile response and strong execution, we maintained stable performance of our cash-cow business while sustaining a healthy ecosystem.” commented Yan Tang, Chairman and CEO of Hello Group. “Our overseas business has posted exceptional results over the past year, fueled by organic product incubation and targeted mergers and acquisitions. This has enabled us to diversify and enrich our brand portfolio while rapidly expanding our global presence, resulting in accelerated overseas revenue momentum. The overseas business has now solidified as an important revenue contributor for the Group and stands as the key engine for our future overall growth.”</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Fourth Quarter of 2025 Financial Results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Net revenues</w:t>
      </w:r>
    </w:p>
    <w:p>
      <w:pPr>
        <w:spacing w:after="0" w:line="92" w:lineRule="exact"/>
        <w:rPr>
          <w:sz w:val="20"/>
          <w:szCs w:val="20"/>
          <w:color w:val="auto"/>
        </w:rPr>
      </w:pPr>
    </w:p>
    <w:p>
      <w:pPr>
        <w:ind w:left="240" w:right="539"/>
        <w:spacing w:after="0" w:line="281" w:lineRule="auto"/>
        <w:rPr>
          <w:sz w:val="20"/>
          <w:szCs w:val="20"/>
          <w:color w:val="auto"/>
        </w:rPr>
      </w:pPr>
      <w:r>
        <w:rPr>
          <w:rFonts w:ascii="Times New Roman" w:cs="Times New Roman" w:eastAsia="Times New Roman" w:hAnsi="Times New Roman"/>
          <w:sz w:val="14"/>
          <w:szCs w:val="14"/>
          <w:color w:val="auto"/>
        </w:rPr>
        <w:t>Total net revenues were RMB2,575.8 million (US$368.3 million) in the fourth quarter of 2025, a decrease of 2.3% from RMB2,636.5 million in the fourth quarter of 2024.</w:t>
      </w:r>
    </w:p>
    <w:p>
      <w:pPr>
        <w:spacing w:after="0" w:line="125" w:lineRule="exact"/>
        <w:rPr>
          <w:sz w:val="20"/>
          <w:szCs w:val="20"/>
          <w:color w:val="auto"/>
        </w:rPr>
      </w:pPr>
    </w:p>
    <w:p>
      <w:pPr>
        <w:ind w:left="240" w:right="279"/>
        <w:spacing w:after="0" w:line="255" w:lineRule="auto"/>
        <w:rPr>
          <w:sz w:val="20"/>
          <w:szCs w:val="20"/>
          <w:color w:val="auto"/>
        </w:rPr>
      </w:pPr>
      <w:r>
        <w:rPr>
          <w:rFonts w:ascii="Times New Roman" w:cs="Times New Roman" w:eastAsia="Times New Roman" w:hAnsi="Times New Roman"/>
          <w:sz w:val="14"/>
          <w:szCs w:val="14"/>
          <w:color w:val="auto"/>
        </w:rPr>
        <w:t>Value-added service revenues mainly include virtual gift revenues from various audio, video and text- based scenarios, and membership subscription revenues. Total value-added service revenues were RMB2,533.1 million (US$362.2 million) in the fourth quarter of 2025, a decrease of 2.3% from RMB2,591.6 million during the same period of 2024. The decrease was primarily due to external factors that influenced the operational focus of certain broadcasters and agencies as well as the weak consumer sentiment on Momo app, and to a lesser extent, the decline in Tantan resulting from a decline in user base. The decrease was largely offset by the revenue growth from our overseas apps, driven by the rapid expansion from multiple social entertainment and dating brands across our rich portfolio.</w:t>
      </w:r>
    </w:p>
    <w:p>
      <w:pPr>
        <w:spacing w:after="0" w:line="146" w:lineRule="exact"/>
        <w:rPr>
          <w:sz w:val="20"/>
          <w:szCs w:val="20"/>
          <w:color w:val="auto"/>
        </w:rPr>
      </w:pPr>
    </w:p>
    <w:p>
      <w:pPr>
        <w:ind w:left="240" w:right="259"/>
        <w:spacing w:after="0" w:line="281" w:lineRule="auto"/>
        <w:rPr>
          <w:sz w:val="20"/>
          <w:szCs w:val="20"/>
          <w:color w:val="auto"/>
        </w:rPr>
      </w:pPr>
      <w:r>
        <w:rPr>
          <w:rFonts w:ascii="Times New Roman" w:cs="Times New Roman" w:eastAsia="Times New Roman" w:hAnsi="Times New Roman"/>
          <w:sz w:val="14"/>
          <w:szCs w:val="14"/>
          <w:color w:val="auto"/>
        </w:rPr>
        <w:t>Other services revenues were RMB42.7 million (US$6.1 million) in the fourth quarter of 2025, compared to RMB44.9 million during the same period of 2024.</w:t>
      </w:r>
    </w:p>
    <w:p>
      <w:pPr>
        <w:spacing w:after="0" w:line="125" w:lineRule="exact"/>
        <w:rPr>
          <w:sz w:val="20"/>
          <w:szCs w:val="20"/>
          <w:color w:val="auto"/>
        </w:rPr>
      </w:pPr>
    </w:p>
    <w:p>
      <w:pPr>
        <w:ind w:left="240" w:right="379"/>
        <w:spacing w:after="0" w:line="257" w:lineRule="auto"/>
        <w:rPr>
          <w:sz w:val="20"/>
          <w:szCs w:val="20"/>
          <w:color w:val="auto"/>
        </w:rPr>
      </w:pPr>
      <w:r>
        <w:rPr>
          <w:rFonts w:ascii="Times New Roman" w:cs="Times New Roman" w:eastAsia="Times New Roman" w:hAnsi="Times New Roman"/>
          <w:sz w:val="14"/>
          <w:szCs w:val="14"/>
          <w:color w:val="auto"/>
        </w:rPr>
        <w:t>Net revenues from Chinese mainland decreased from RMB2,279.4 million in the fourth quarter of 2024 to RMB1,967.6 million (US$281.4 million) in the fourth quarter of 2025, primarily due to the decrease in net revenues from Momo app and Tantan app. Net revenues from overseas increased from RMB357.1 million in the fourth quarter of 2024 to RMB608.2 million (US$87.0 million) in the fourth quarter of 2025, driven by the growth of audio-and video-based products in the Middle East and North Africa(“MENA”) region, primarily by the new apps, along with incremental revenue from dating brands outside of MENA.</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Cost and expenses</w:t>
      </w:r>
    </w:p>
    <w:p>
      <w:pPr>
        <w:spacing w:after="0" w:line="92" w:lineRule="exact"/>
        <w:rPr>
          <w:sz w:val="20"/>
          <w:szCs w:val="20"/>
          <w:color w:val="auto"/>
        </w:rPr>
      </w:pPr>
    </w:p>
    <w:p>
      <w:pPr>
        <w:ind w:left="240" w:right="439"/>
        <w:spacing w:after="0" w:line="260" w:lineRule="auto"/>
        <w:rPr>
          <w:sz w:val="20"/>
          <w:szCs w:val="20"/>
          <w:color w:val="auto"/>
        </w:rPr>
      </w:pPr>
      <w:r>
        <w:rPr>
          <w:rFonts w:ascii="Times New Roman" w:cs="Times New Roman" w:eastAsia="Times New Roman" w:hAnsi="Times New Roman"/>
          <w:sz w:val="14"/>
          <w:szCs w:val="14"/>
          <w:color w:val="auto"/>
        </w:rPr>
        <w:t>Cost and expenses were RMB2,278.4 million (US$325.8 million) in the fourth quarter of 2025, a decrease of 5.4% from RMB2,407.8 million in the fourth quarter of 2024. The decrease was primarily attributable to: (a) a RMB94.1 million in production costs incurred in connection with films in the fourth quarter of 2024, and (b) a decrease in revenue sharing with broadcasters on Momo apps, partially offset by an increased revenue sharing with virtual gift recipients on overseas apps.</w:t>
      </w:r>
    </w:p>
    <w:p>
      <w:pPr>
        <w:spacing w:after="0" w:line="140" w:lineRule="exact"/>
        <w:rPr>
          <w:sz w:val="20"/>
          <w:szCs w:val="20"/>
          <w:color w:val="auto"/>
        </w:rPr>
      </w:pPr>
    </w:p>
    <w:p>
      <w:pPr>
        <w:ind w:left="240" w:right="399"/>
        <w:spacing w:after="0" w:line="281" w:lineRule="auto"/>
        <w:rPr>
          <w:sz w:val="20"/>
          <w:szCs w:val="20"/>
          <w:color w:val="auto"/>
        </w:rPr>
      </w:pPr>
      <w:r>
        <w:rPr>
          <w:rFonts w:ascii="Times New Roman" w:cs="Times New Roman" w:eastAsia="Times New Roman" w:hAnsi="Times New Roman"/>
          <w:sz w:val="14"/>
          <w:szCs w:val="14"/>
          <w:color w:val="auto"/>
        </w:rPr>
        <w:t>Non-GAAP cost and expenses (note 1) were RMB2,231.4 million (US$319.1 million) in the fourth quarter of 2025, compared to RMB2,364.6 million during the same period of 2024.</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w:t>
      </w:r>
    </w:p>
    <w:p>
      <w:pPr>
        <w:spacing w:after="0" w:line="92" w:lineRule="exact"/>
        <w:rPr>
          <w:sz w:val="20"/>
          <w:szCs w:val="20"/>
          <w:color w:val="auto"/>
        </w:rPr>
      </w:pPr>
    </w:p>
    <w:p>
      <w:pPr>
        <w:ind w:left="240" w:right="639"/>
        <w:spacing w:after="0" w:line="281" w:lineRule="auto"/>
        <w:rPr>
          <w:sz w:val="20"/>
          <w:szCs w:val="20"/>
          <w:color w:val="auto"/>
        </w:rPr>
      </w:pPr>
      <w:r>
        <w:rPr>
          <w:rFonts w:ascii="Times New Roman" w:cs="Times New Roman" w:eastAsia="Times New Roman" w:hAnsi="Times New Roman"/>
          <w:sz w:val="14"/>
          <w:szCs w:val="14"/>
          <w:color w:val="auto"/>
        </w:rPr>
        <w:t>Income from operations was RMB307.1 million (US$43.9 million) in the fourth quarter of 2025, compared to RMB236.7 million during the same period of 2024.</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5" w:name="page6"/>
    <w:bookmarkEnd w:id="5"/>
    <w:p>
      <w:pPr>
        <w:ind w:left="240" w:right="39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Non-GAAP income from operations (note 1) was RMB354.1 million (US$50.6 million) in the fourth quarter of 2025, compared to RMB279.9 million during the same period of 2024.</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expenses</w:t>
      </w:r>
    </w:p>
    <w:p>
      <w:pPr>
        <w:spacing w:after="0" w:line="92" w:lineRule="exact"/>
        <w:rPr>
          <w:sz w:val="20"/>
          <w:szCs w:val="20"/>
          <w:color w:val="auto"/>
        </w:rPr>
      </w:pPr>
    </w:p>
    <w:p>
      <w:pPr>
        <w:ind w:left="240" w:right="579"/>
        <w:spacing w:after="0" w:line="281" w:lineRule="auto"/>
        <w:rPr>
          <w:sz w:val="20"/>
          <w:szCs w:val="20"/>
          <w:color w:val="auto"/>
        </w:rPr>
      </w:pPr>
      <w:r>
        <w:rPr>
          <w:rFonts w:ascii="Times New Roman" w:cs="Times New Roman" w:eastAsia="Times New Roman" w:hAnsi="Times New Roman"/>
          <w:sz w:val="14"/>
          <w:szCs w:val="14"/>
          <w:color w:val="auto"/>
        </w:rPr>
        <w:t>Income tax expenses were RMB68.9 million (US$9.9 million) in the fourth quarter of 2025, compared to RMB89.5 million in the fourth quarter of 2024.</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income was RMB237.8 million (US$34.0 million) in the fourth quarter of 2025, compared to RMB187.2 million during the same period of 2024.</w:t>
      </w:r>
    </w:p>
    <w:p>
      <w:pPr>
        <w:spacing w:after="0" w:line="174" w:lineRule="exact"/>
        <w:rPr>
          <w:sz w:val="20"/>
          <w:szCs w:val="20"/>
          <w:color w:val="auto"/>
        </w:rPr>
      </w:pPr>
    </w:p>
    <w:p>
      <w:pPr>
        <w:ind w:left="240" w:right="499"/>
        <w:spacing w:after="0" w:line="281" w:lineRule="auto"/>
        <w:rPr>
          <w:sz w:val="20"/>
          <w:szCs w:val="20"/>
          <w:color w:val="auto"/>
        </w:rPr>
      </w:pPr>
      <w:r>
        <w:rPr>
          <w:rFonts w:ascii="Times New Roman" w:cs="Times New Roman" w:eastAsia="Times New Roman" w:hAnsi="Times New Roman"/>
          <w:sz w:val="14"/>
          <w:szCs w:val="14"/>
          <w:color w:val="auto"/>
        </w:rPr>
        <w:t>Non-GAAP net income (note 1) was RMB281.8 million (US$40.3 million) in the fourth quarter of 2025, compared to RMB230.5 million during the same period of 2024.</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Net income attributable to Hello Group Inc.</w:t>
      </w:r>
    </w:p>
    <w:p>
      <w:pPr>
        <w:spacing w:after="0" w:line="92" w:lineRule="exact"/>
        <w:rPr>
          <w:sz w:val="20"/>
          <w:szCs w:val="20"/>
          <w:color w:val="auto"/>
        </w:rPr>
      </w:pPr>
    </w:p>
    <w:p>
      <w:pPr>
        <w:ind w:left="240" w:right="459"/>
        <w:spacing w:after="0" w:line="281" w:lineRule="auto"/>
        <w:rPr>
          <w:sz w:val="20"/>
          <w:szCs w:val="20"/>
          <w:color w:val="auto"/>
        </w:rPr>
      </w:pPr>
      <w:r>
        <w:rPr>
          <w:rFonts w:ascii="Times New Roman" w:cs="Times New Roman" w:eastAsia="Times New Roman" w:hAnsi="Times New Roman"/>
          <w:sz w:val="14"/>
          <w:szCs w:val="14"/>
          <w:color w:val="auto"/>
        </w:rPr>
        <w:t>Net income attributable to Hello Group Inc. was RMB237.3 million (US$33.9 million) in the fourth quarter of 2025, compared to RMB187.2 million during the same period of 2024.</w:t>
      </w:r>
    </w:p>
    <w:p>
      <w:pPr>
        <w:spacing w:after="0" w:line="125" w:lineRule="exact"/>
        <w:rPr>
          <w:sz w:val="20"/>
          <w:szCs w:val="20"/>
          <w:color w:val="auto"/>
        </w:rPr>
      </w:pPr>
    </w:p>
    <w:p>
      <w:pPr>
        <w:ind w:left="240" w:right="419"/>
        <w:spacing w:after="0" w:line="281" w:lineRule="auto"/>
        <w:rPr>
          <w:sz w:val="20"/>
          <w:szCs w:val="20"/>
          <w:color w:val="auto"/>
        </w:rPr>
      </w:pPr>
      <w:r>
        <w:rPr>
          <w:rFonts w:ascii="Times New Roman" w:cs="Times New Roman" w:eastAsia="Times New Roman" w:hAnsi="Times New Roman"/>
          <w:sz w:val="14"/>
          <w:szCs w:val="14"/>
          <w:color w:val="auto"/>
        </w:rPr>
        <w:t>Non-GAAP net income (note 1) attributable to Hello Group Inc. was RMB281.3 million (US$40.2 million) in the fourth quarter of 2025, compared to RMB230.5 million during the same period of 2024.</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Net income per ADS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Diluted net income per ADS was RMB1.44 (US$0.21) in the fourth quarter of 2025, compared to RMB1.05 in the fourth quarter of 2024.</w:t>
      </w:r>
    </w:p>
    <w:p>
      <w:pPr>
        <w:spacing w:after="0" w:line="174" w:lineRule="exact"/>
        <w:rPr>
          <w:sz w:val="20"/>
          <w:szCs w:val="20"/>
          <w:color w:val="auto"/>
        </w:rPr>
      </w:pPr>
    </w:p>
    <w:p>
      <w:pPr>
        <w:ind w:left="240" w:right="319"/>
        <w:spacing w:after="0" w:line="281" w:lineRule="auto"/>
        <w:rPr>
          <w:sz w:val="20"/>
          <w:szCs w:val="20"/>
          <w:color w:val="auto"/>
        </w:rPr>
      </w:pPr>
      <w:r>
        <w:rPr>
          <w:rFonts w:ascii="Times New Roman" w:cs="Times New Roman" w:eastAsia="Times New Roman" w:hAnsi="Times New Roman"/>
          <w:sz w:val="14"/>
          <w:szCs w:val="14"/>
          <w:color w:val="auto"/>
        </w:rPr>
        <w:t>Non-GAAP diluted net income per ADS (note 1) was RMB1.70 (US$0.24) in the fourth quarter of 2025, compared to RMB1.30 in the fourth quarter of 2024.</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Cash and cash flow</w:t>
      </w:r>
    </w:p>
    <w:p>
      <w:pPr>
        <w:spacing w:after="0" w:line="92" w:lineRule="exact"/>
        <w:rPr>
          <w:sz w:val="20"/>
          <w:szCs w:val="20"/>
          <w:color w:val="auto"/>
        </w:rPr>
      </w:pPr>
    </w:p>
    <w:p>
      <w:pPr>
        <w:ind w:left="240" w:right="279"/>
        <w:spacing w:after="0" w:line="260" w:lineRule="auto"/>
        <w:rPr>
          <w:sz w:val="20"/>
          <w:szCs w:val="20"/>
          <w:color w:val="auto"/>
        </w:rPr>
      </w:pPr>
      <w:r>
        <w:rPr>
          <w:rFonts w:ascii="Times New Roman" w:cs="Times New Roman" w:eastAsia="Times New Roman" w:hAnsi="Times New Roman"/>
          <w:sz w:val="14"/>
          <w:szCs w:val="14"/>
          <w:color w:val="auto"/>
        </w:rPr>
        <w:t>As of December 31, 2025, the Company’s cash, cash equivalents, short-term deposits, long-term deposits, short-term investments, short-term restricted cash and long-term restricted cash totaled RMB8,677.6 million (US$1,240.9 million), compared to RMB14,728.5 million as of December 31, 2024. The decrease in cash was primarily driven by bank loan repayments, the distribution of a special cash dividend, settlement of withholding tax accrued for prior periods, certain acquisitions and investments, and payment under the company’s Share Repurchase Program.</w:t>
      </w:r>
    </w:p>
    <w:p>
      <w:pPr>
        <w:spacing w:after="0" w:line="140" w:lineRule="exact"/>
        <w:rPr>
          <w:sz w:val="20"/>
          <w:szCs w:val="20"/>
          <w:color w:val="auto"/>
        </w:rPr>
      </w:pPr>
    </w:p>
    <w:p>
      <w:pPr>
        <w:ind w:left="240" w:right="259"/>
        <w:spacing w:after="0" w:line="281" w:lineRule="auto"/>
        <w:rPr>
          <w:sz w:val="20"/>
          <w:szCs w:val="20"/>
          <w:color w:val="auto"/>
        </w:rPr>
      </w:pPr>
      <w:r>
        <w:rPr>
          <w:rFonts w:ascii="Times New Roman" w:cs="Times New Roman" w:eastAsia="Times New Roman" w:hAnsi="Times New Roman"/>
          <w:sz w:val="14"/>
          <w:szCs w:val="14"/>
          <w:color w:val="auto"/>
        </w:rPr>
        <w:t>Net cash provided by operating activities in the fourth quarter of 2025 was RMB549.7 million (US$78.6 million), compared to RMB423.6 million in the fourth quarter of 2024.</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Full Year 2025 Financial Results</w:t>
      </w:r>
    </w:p>
    <w:p>
      <w:pPr>
        <w:spacing w:after="0" w:line="92" w:lineRule="exact"/>
        <w:rPr>
          <w:sz w:val="20"/>
          <w:szCs w:val="20"/>
          <w:color w:val="auto"/>
        </w:rPr>
      </w:pPr>
    </w:p>
    <w:p>
      <w:pPr>
        <w:ind w:left="240" w:right="499"/>
        <w:spacing w:after="0" w:line="281" w:lineRule="auto"/>
        <w:rPr>
          <w:sz w:val="20"/>
          <w:szCs w:val="20"/>
          <w:color w:val="auto"/>
        </w:rPr>
      </w:pPr>
      <w:r>
        <w:rPr>
          <w:rFonts w:ascii="Times New Roman" w:cs="Times New Roman" w:eastAsia="Times New Roman" w:hAnsi="Times New Roman"/>
          <w:sz w:val="14"/>
          <w:szCs w:val="14"/>
          <w:color w:val="auto"/>
        </w:rPr>
        <w:t>Net revenues for the full year of 2025 were RMB10,367.1 million (US$1,482.5 million), a decrease of 1.9% from RMB10,563.0 million in the same period of 2024.</w:t>
      </w:r>
    </w:p>
    <w:p>
      <w:pPr>
        <w:spacing w:after="0" w:line="125" w:lineRule="exact"/>
        <w:rPr>
          <w:sz w:val="20"/>
          <w:szCs w:val="20"/>
          <w:color w:val="auto"/>
        </w:rPr>
      </w:pPr>
    </w:p>
    <w:p>
      <w:pPr>
        <w:ind w:left="240" w:right="539"/>
        <w:spacing w:after="0" w:line="281" w:lineRule="auto"/>
        <w:rPr>
          <w:sz w:val="20"/>
          <w:szCs w:val="20"/>
          <w:color w:val="auto"/>
        </w:rPr>
      </w:pPr>
      <w:r>
        <w:rPr>
          <w:rFonts w:ascii="Times New Roman" w:cs="Times New Roman" w:eastAsia="Times New Roman" w:hAnsi="Times New Roman"/>
          <w:sz w:val="14"/>
          <w:szCs w:val="14"/>
          <w:color w:val="auto"/>
        </w:rPr>
        <w:t>Net income attributable to Hello Group Inc. was RMB804.0 million (US$115.0 million) for the full year of 2025, compared to RMB1,039.6 million during the same period of 2024.</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6" w:name="page7"/>
    <w:bookmarkEnd w:id="6"/>
    <w:p>
      <w:pPr>
        <w:ind w:left="240" w:right="57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Non-GAAP net income attributable to Hello Group Inc. (note 1) was RMB993.5 million (US$142.1 million) for the full year of 2025, compared to RMB1,232.9 million during the same period of 2024.</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Diluted net income per ADS was RMB4.75 (US$0.68) during the full year of 2025, compared to RMB5.57 in the same period of 2024.</w:t>
      </w:r>
    </w:p>
    <w:p>
      <w:pPr>
        <w:spacing w:after="0" w:line="174" w:lineRule="exact"/>
        <w:rPr>
          <w:sz w:val="20"/>
          <w:szCs w:val="20"/>
          <w:color w:val="auto"/>
        </w:rPr>
      </w:pPr>
    </w:p>
    <w:p>
      <w:pPr>
        <w:ind w:left="240" w:right="439"/>
        <w:spacing w:after="0" w:line="281" w:lineRule="auto"/>
        <w:rPr>
          <w:sz w:val="20"/>
          <w:szCs w:val="20"/>
          <w:color w:val="auto"/>
        </w:rPr>
      </w:pPr>
      <w:r>
        <w:rPr>
          <w:rFonts w:ascii="Times New Roman" w:cs="Times New Roman" w:eastAsia="Times New Roman" w:hAnsi="Times New Roman"/>
          <w:sz w:val="14"/>
          <w:szCs w:val="14"/>
          <w:color w:val="auto"/>
        </w:rPr>
        <w:t>Non-GAAP diluted net income per ADS (note 1) was RMB5.87 (US$0.84) during the full year of 2025, compared to RMB6.60 in the same period of 2024.</w:t>
      </w:r>
    </w:p>
    <w:p>
      <w:pPr>
        <w:spacing w:after="0" w:line="125" w:lineRule="exact"/>
        <w:rPr>
          <w:sz w:val="20"/>
          <w:szCs w:val="20"/>
          <w:color w:val="auto"/>
        </w:rPr>
      </w:pPr>
    </w:p>
    <w:p>
      <w:pPr>
        <w:ind w:left="240" w:right="379"/>
        <w:spacing w:after="0" w:line="281" w:lineRule="auto"/>
        <w:rPr>
          <w:sz w:val="20"/>
          <w:szCs w:val="20"/>
          <w:color w:val="auto"/>
        </w:rPr>
      </w:pPr>
      <w:r>
        <w:rPr>
          <w:rFonts w:ascii="Times New Roman" w:cs="Times New Roman" w:eastAsia="Times New Roman" w:hAnsi="Times New Roman"/>
          <w:sz w:val="14"/>
          <w:szCs w:val="14"/>
          <w:color w:val="auto"/>
        </w:rPr>
        <w:t>Net cash provided by operating activities was RMB1,183.1 million (US$169.2 million) during the full year of 2025, compared to RMB1,640.0 million in the same period of 2024.</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Recent Development</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Declaration of a special cash dividend</w:t>
      </w:r>
    </w:p>
    <w:p>
      <w:pPr>
        <w:spacing w:after="0" w:line="92" w:lineRule="exact"/>
        <w:rPr>
          <w:sz w:val="20"/>
          <w:szCs w:val="20"/>
          <w:color w:val="auto"/>
        </w:rPr>
      </w:pPr>
    </w:p>
    <w:p>
      <w:pPr>
        <w:ind w:left="240" w:right="259"/>
        <w:spacing w:after="0" w:line="260" w:lineRule="auto"/>
        <w:rPr>
          <w:sz w:val="20"/>
          <w:szCs w:val="20"/>
          <w:color w:val="auto"/>
        </w:rPr>
      </w:pPr>
      <w:r>
        <w:rPr>
          <w:rFonts w:ascii="Times New Roman" w:cs="Times New Roman" w:eastAsia="Times New Roman" w:hAnsi="Times New Roman"/>
          <w:sz w:val="14"/>
          <w:szCs w:val="14"/>
          <w:color w:val="auto"/>
        </w:rPr>
        <w:t>Hello Group’s board of directors has declared a special cash dividend in the amount of US$0.28 per ADS, or US$0.14 per ordinary share. The cash dividend will be paid on April 30, 2026 to shareholders of record at the close of business on April 10, 2026. The ex-dividend date will be April 10, 2026. The aggregate amount of cash dividends to be paid is approximately US$42.6 million, which will be funded by available cash on the Company’s balance sheet.</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Share repurchase program</w:t>
      </w:r>
    </w:p>
    <w:p>
      <w:pPr>
        <w:spacing w:after="0" w:line="92" w:lineRule="exact"/>
        <w:rPr>
          <w:sz w:val="20"/>
          <w:szCs w:val="20"/>
          <w:color w:val="auto"/>
        </w:rPr>
      </w:pPr>
    </w:p>
    <w:p>
      <w:pPr>
        <w:ind w:left="240" w:right="279"/>
        <w:spacing w:after="0" w:line="265" w:lineRule="auto"/>
        <w:rPr>
          <w:sz w:val="20"/>
          <w:szCs w:val="20"/>
          <w:color w:val="auto"/>
        </w:rPr>
      </w:pPr>
      <w:r>
        <w:rPr>
          <w:rFonts w:ascii="Times New Roman" w:cs="Times New Roman" w:eastAsia="Times New Roman" w:hAnsi="Times New Roman"/>
          <w:sz w:val="14"/>
          <w:szCs w:val="14"/>
          <w:color w:val="auto"/>
        </w:rPr>
        <w:t>As of March 18, 2026, the Company has repurchased 60.3 million ADSs for US$378.9 million on the open market under the Share Repurchase Program announced on June 7, 2022 and amended on March 14, 2024 and March 12, 2025, at an average purchase price of US$6.26 per ADS. The remaining size of the program is US$107.2 million.</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Business Outlook</w:t>
      </w:r>
    </w:p>
    <w:p>
      <w:pPr>
        <w:spacing w:after="0" w:line="92" w:lineRule="exact"/>
        <w:rPr>
          <w:sz w:val="20"/>
          <w:szCs w:val="20"/>
          <w:color w:val="auto"/>
        </w:rPr>
      </w:pPr>
    </w:p>
    <w:p>
      <w:pPr>
        <w:jc w:val="both"/>
        <w:ind w:left="240" w:right="299"/>
        <w:spacing w:after="0" w:line="265" w:lineRule="auto"/>
        <w:rPr>
          <w:sz w:val="20"/>
          <w:szCs w:val="20"/>
          <w:color w:val="auto"/>
        </w:rPr>
      </w:pPr>
      <w:r>
        <w:rPr>
          <w:rFonts w:ascii="Times New Roman" w:cs="Times New Roman" w:eastAsia="Times New Roman" w:hAnsi="Times New Roman"/>
          <w:sz w:val="14"/>
          <w:szCs w:val="14"/>
          <w:color w:val="auto"/>
        </w:rPr>
        <w:t>For the first quarter of 2026, the Company expects total net revenues to be between RMB2.3 billion to RMB2.4 billion, representing a decrease of 8.8% to 4.8% year over year. This forecast reflects the Company’s current and preliminary views on the market and operational conditions, which are subject to change.</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Note 1: Non-GAAP measures</w:t>
      </w:r>
    </w:p>
    <w:p>
      <w:pPr>
        <w:spacing w:after="0" w:line="92" w:lineRule="exact"/>
        <w:rPr>
          <w:sz w:val="20"/>
          <w:szCs w:val="20"/>
          <w:color w:val="auto"/>
        </w:rPr>
      </w:pPr>
    </w:p>
    <w:p>
      <w:pPr>
        <w:ind w:left="240" w:right="359"/>
        <w:spacing w:after="0" w:line="295" w:lineRule="auto"/>
        <w:rPr>
          <w:sz w:val="20"/>
          <w:szCs w:val="20"/>
          <w:color w:val="auto"/>
        </w:rPr>
      </w:pPr>
      <w:r>
        <w:rPr>
          <w:rFonts w:ascii="Times New Roman" w:cs="Times New Roman" w:eastAsia="Times New Roman" w:hAnsi="Times New Roman"/>
          <w:sz w:val="13"/>
          <w:szCs w:val="13"/>
          <w:color w:val="auto"/>
        </w:rPr>
        <w:t>To supplement our consolidated financial statements presented in accordance with U.S. generally accepted accounting principles (“GAAP”), we, Hello Group, use various non-GAAP financial measures that are adjusted from the most comparable GAAP results to exclude share-based compensation, amortization of intangible assets from business acquisitions and tax impacts related to the amortization of intangible assets from business acquisitions.</w:t>
      </w:r>
    </w:p>
    <w:p>
      <w:pPr>
        <w:spacing w:after="0" w:line="118" w:lineRule="exact"/>
        <w:rPr>
          <w:sz w:val="20"/>
          <w:szCs w:val="20"/>
          <w:color w:val="auto"/>
        </w:rPr>
      </w:pPr>
    </w:p>
    <w:p>
      <w:pPr>
        <w:ind w:left="240" w:right="239"/>
        <w:spacing w:after="0" w:line="281" w:lineRule="auto"/>
        <w:rPr>
          <w:sz w:val="20"/>
          <w:szCs w:val="20"/>
          <w:color w:val="auto"/>
        </w:rPr>
      </w:pPr>
      <w:r>
        <w:rPr>
          <w:rFonts w:ascii="Times New Roman" w:cs="Times New Roman" w:eastAsia="Times New Roman" w:hAnsi="Times New Roman"/>
          <w:sz w:val="14"/>
          <w:szCs w:val="14"/>
          <w:color w:val="auto"/>
        </w:rPr>
        <w:t>Reconciliations of our non-GAAP financial measures to our U.S. GAAP financial measures are shown in tables at the end of this earnings release, which provide more details about the non-GAAP financial measures.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7" w:name="page8"/>
    <w:bookmarkEnd w:id="7"/>
    <w:p>
      <w:pPr>
        <w:ind w:left="240" w:right="31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Our non-GAAP financial information is provided as additional information to help investors compare business trends among different reporting periods on a consistent basis and to enhance investors’ overall understanding of the historical and current financial performance of our continuing operations and our prospects for the future. Our non-GAAP financial information should be considered in addition to results prepared in accordance with GAAP, but should not be considered a substitute for or superior to the GAAP results. In addition, our calculation of the non-GAAP financial measures may be different from the calculation used by other companies, and therefore comparability may be limited.</w:t>
      </w:r>
    </w:p>
    <w:p>
      <w:pPr>
        <w:spacing w:after="0" w:line="143" w:lineRule="exact"/>
        <w:rPr>
          <w:sz w:val="20"/>
          <w:szCs w:val="20"/>
          <w:color w:val="auto"/>
        </w:rPr>
      </w:pPr>
    </w:p>
    <w:p>
      <w:pPr>
        <w:ind w:left="240" w:right="259"/>
        <w:spacing w:after="0" w:line="254" w:lineRule="auto"/>
        <w:rPr>
          <w:sz w:val="20"/>
          <w:szCs w:val="20"/>
          <w:color w:val="auto"/>
        </w:rPr>
      </w:pPr>
      <w:r>
        <w:rPr>
          <w:rFonts w:ascii="Times New Roman" w:cs="Times New Roman" w:eastAsia="Times New Roman" w:hAnsi="Times New Roman"/>
          <w:sz w:val="14"/>
          <w:szCs w:val="14"/>
          <w:color w:val="auto"/>
        </w:rPr>
        <w:t>Our non-GAAP information (including non-GAAP cost and operating expenses, income from operations, net income, net income attributable to Hello Group Inc., and diluted net income per ADS) is adjusted from the most comparable GAAP results to exclude share-based compensation, amortization of intangible assets from business acquisitions, and tax impacts related to the amortization of intangible assets from business acquisitions. A limitation of using these non-GAAP financial measures is that share-based compensation, amortization of intangible assets from business acquisitions and tax impacts related to the amortization of intangible assets from business acquisitions have been and will continue to be for the foreseeable future significant recurring expenses in our results of operations. We compensate for such limitation by providing reconciliations of our non-GAAP measures to our U.S. GAAP measures. Please see the reconciliation tables at the end of this earnings release.</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Conference Call</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Hello Group’s management will host an earnings conference call on Wednesday, March 18, 2026, at 8:00 a.m. U.S. Eastern Time (8:00 p.m.</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Beijing / Hong Kong Time on March 18, 2026).</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Participants can register for the conference call by navigating to:</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https://s1.c-conf.com/diamondpass/10053257-1s7egv.html.</w:t>
      </w:r>
    </w:p>
    <w:p>
      <w:pPr>
        <w:spacing w:after="0" w:line="174" w:lineRule="exact"/>
        <w:rPr>
          <w:sz w:val="20"/>
          <w:szCs w:val="20"/>
          <w:color w:val="auto"/>
        </w:rPr>
      </w:pPr>
    </w:p>
    <w:p>
      <w:pPr>
        <w:ind w:left="240" w:right="379"/>
        <w:spacing w:after="0" w:line="281" w:lineRule="auto"/>
        <w:rPr>
          <w:sz w:val="20"/>
          <w:szCs w:val="20"/>
          <w:color w:val="auto"/>
        </w:rPr>
      </w:pPr>
      <w:r>
        <w:rPr>
          <w:rFonts w:ascii="Times New Roman" w:cs="Times New Roman" w:eastAsia="Times New Roman" w:hAnsi="Times New Roman"/>
          <w:sz w:val="14"/>
          <w:szCs w:val="14"/>
          <w:color w:val="auto"/>
        </w:rPr>
        <w:t>Upon registration, each participant will receive details for the conference call, including dial-in numbers, conference call passcode and a unique access PIN. Please dial in 10 minutes before the call is scheduled to begin.</w:t>
      </w:r>
    </w:p>
    <w:p>
      <w:pPr>
        <w:spacing w:after="0" w:line="125" w:lineRule="exact"/>
        <w:rPr>
          <w:sz w:val="20"/>
          <w:szCs w:val="20"/>
          <w:color w:val="auto"/>
        </w:rPr>
      </w:pPr>
    </w:p>
    <w:p>
      <w:pPr>
        <w:ind w:left="240" w:right="339"/>
        <w:spacing w:after="0" w:line="281" w:lineRule="auto"/>
        <w:rPr>
          <w:sz w:val="20"/>
          <w:szCs w:val="20"/>
          <w:color w:val="auto"/>
        </w:rPr>
      </w:pPr>
      <w:r>
        <w:rPr>
          <w:rFonts w:ascii="Times New Roman" w:cs="Times New Roman" w:eastAsia="Times New Roman" w:hAnsi="Times New Roman"/>
          <w:sz w:val="14"/>
          <w:szCs w:val="14"/>
          <w:color w:val="auto"/>
        </w:rPr>
        <w:t>A telephone replay of the call will be available after the conclusion of the conference call through March 27, 2026. The dial-in details for the replay are as follows:</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U.S. / Canada: 1-855-883-1031</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Hong Kong: 800-930-639</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Passcode: 10053257</w:t>
      </w:r>
    </w:p>
    <w:p>
      <w:pPr>
        <w:spacing w:after="0" w:line="159" w:lineRule="exact"/>
        <w:rPr>
          <w:sz w:val="20"/>
          <w:szCs w:val="20"/>
          <w:color w:val="auto"/>
        </w:rPr>
      </w:pPr>
    </w:p>
    <w:p>
      <w:pPr>
        <w:ind w:left="240" w:right="839"/>
        <w:spacing w:after="0" w:line="281" w:lineRule="auto"/>
        <w:rPr>
          <w:sz w:val="20"/>
          <w:szCs w:val="20"/>
          <w:color w:val="auto"/>
        </w:rPr>
      </w:pPr>
      <w:r>
        <w:rPr>
          <w:rFonts w:ascii="Times New Roman" w:cs="Times New Roman" w:eastAsia="Times New Roman" w:hAnsi="Times New Roman"/>
          <w:sz w:val="14"/>
          <w:szCs w:val="14"/>
          <w:color w:val="auto"/>
        </w:rPr>
        <w:t>Additionally, a live and archived webcast of the conference call will be available on the Investor Relations section of Hello Group’s website at https://ir.hellogroup.com.</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About Hello Group Inc.</w:t>
      </w:r>
    </w:p>
    <w:p>
      <w:pPr>
        <w:spacing w:after="0" w:line="92" w:lineRule="exact"/>
        <w:rPr>
          <w:sz w:val="20"/>
          <w:szCs w:val="20"/>
          <w:color w:val="auto"/>
        </w:rPr>
      </w:pPr>
    </w:p>
    <w:p>
      <w:pPr>
        <w:ind w:left="240" w:right="319"/>
        <w:spacing w:after="0" w:line="255" w:lineRule="auto"/>
        <w:rPr>
          <w:sz w:val="20"/>
          <w:szCs w:val="20"/>
          <w:color w:val="auto"/>
        </w:rPr>
      </w:pPr>
      <w:r>
        <w:rPr>
          <w:rFonts w:ascii="Times New Roman" w:cs="Times New Roman" w:eastAsia="Times New Roman" w:hAnsi="Times New Roman"/>
          <w:sz w:val="14"/>
          <w:szCs w:val="14"/>
          <w:color w:val="auto"/>
        </w:rPr>
        <w:t>We are a leading player in Asia’s online social networking space. Through Momo, Tantan and other properties within our product portfolio, we enable users to discover new relationships, expand their social connections and build meaningful interactions. Momo is a mobile application that connects people and facilitates social interactions based on location, interests and a variety of online recreational activities. Tantan, which was added into our family of applications through acquisition in May 2018, is a leading social and dating application. Tantan is designed to help its users find and establish romantic connections as well as meet interesting people. Starting from 2019, we have incubated a number of other new apps, such as Hertz, Soulchill, and Duidui, which target more niche markets and more selective demographics.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8" w:name="page9"/>
    <w:bookmarkEnd w:id="8"/>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For investor and media inquiries, please contact:</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Hello Group Inc.</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Investor Relations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Phone: +852-3157-1669</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Email: ir@hellogroup.com</w:t>
      </w:r>
    </w:p>
    <w:p>
      <w:pPr>
        <w:spacing w:after="0" w:line="2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Christensen</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 China</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Ms. Xiaoyan Su</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Phone: +86-10-5900-1548</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E-mail: Xiaoyan.Su@christensencomms.com</w:t>
      </w:r>
    </w:p>
    <w:p>
      <w:pPr>
        <w:spacing w:after="0" w:line="2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Safe Harbor Statement</w:t>
      </w:r>
    </w:p>
    <w:p>
      <w:pPr>
        <w:spacing w:after="0" w:line="92" w:lineRule="exact"/>
        <w:rPr>
          <w:sz w:val="20"/>
          <w:szCs w:val="20"/>
          <w:color w:val="auto"/>
        </w:rPr>
      </w:pPr>
    </w:p>
    <w:p>
      <w:pPr>
        <w:ind w:left="240" w:right="259"/>
        <w:spacing w:after="0" w:line="260" w:lineRule="auto"/>
        <w:rPr>
          <w:sz w:val="20"/>
          <w:szCs w:val="20"/>
          <w:color w:val="auto"/>
        </w:rPr>
      </w:pPr>
      <w:r>
        <w:rPr>
          <w:rFonts w:ascii="Times New Roman" w:cs="Times New Roman" w:eastAsia="Times New Roman" w:hAnsi="Times New Roman"/>
          <w:sz w:val="14"/>
          <w:szCs w:val="14"/>
          <w:color w:val="auto"/>
        </w:rPr>
        <w:t>This news release contains “forward-looking” statements within the meaning of Section 27A of the Securities Act of 1933, as amended, and Section 21E of the Securities Exchange Act of 1934, as amended, and as defined in the Private Securities Litigation Reform Act of 1995. These forward-looking statements include but are not limited to our management quotes, our financial outlook for the first quarter of 2026, as well as the amount of, timing, methods and funding sources for repurchases of our shares under the share repurchase program.</w:t>
      </w:r>
    </w:p>
    <w:p>
      <w:pPr>
        <w:spacing w:after="0" w:line="140" w:lineRule="exact"/>
        <w:rPr>
          <w:sz w:val="20"/>
          <w:szCs w:val="20"/>
          <w:color w:val="auto"/>
        </w:rPr>
      </w:pPr>
    </w:p>
    <w:p>
      <w:pPr>
        <w:ind w:left="240" w:right="279"/>
        <w:spacing w:after="0" w:line="252" w:lineRule="auto"/>
        <w:rPr>
          <w:sz w:val="20"/>
          <w:szCs w:val="20"/>
          <w:color w:val="auto"/>
        </w:rPr>
      </w:pPr>
      <w:r>
        <w:rPr>
          <w:rFonts w:ascii="Times New Roman" w:cs="Times New Roman" w:eastAsia="Times New Roman" w:hAnsi="Times New Roman"/>
          <w:sz w:val="14"/>
          <w:szCs w:val="14"/>
          <w:color w:val="auto"/>
        </w:rPr>
        <w:t>Our forward-looking statements are not historical facts but instead represent only our belief regarding expected results and events, many of which, by their nature, are inherently uncertain and outside of our control. Our actual results and other circumstances may differ, possibly materially, from the anticipated results and events indicated in these forward-looking statements. Announced results for the fourth quarter of 2025 are preliminary, unaudited and subject to audit adjustment. In addition, we may not meet our financial outlook for the first quarter of 2026 and may be unable to grow our business in the manner planned. We may also modify our strategy for growth. Moreover, there are other risks and uncertainties that could cause our actual results to differ from what we currently anticipate, including those relating to our ability to retain and grow our user base, our ability to attract and retain sufficiently trained professionals to support our operations, our ability to anticipate and develop new services and enhance existing services to meet the demand of our users or customers, the market price of the Company’s stock prevailing from time to time, the nature of other investment opportunities presented to the Company from time to time, the Company’s cash flows from operations, general economic conditions, and other factors. For additional information on these and other important factors that could adversely affect our business, financial condition, results of operations, and prospects, please see our filings with the U.S. Securities and Exchange Commission.</w:t>
      </w:r>
    </w:p>
    <w:p>
      <w:pPr>
        <w:spacing w:after="0" w:line="150" w:lineRule="exact"/>
        <w:rPr>
          <w:sz w:val="20"/>
          <w:szCs w:val="20"/>
          <w:color w:val="auto"/>
        </w:rPr>
      </w:pPr>
    </w:p>
    <w:p>
      <w:pPr>
        <w:ind w:left="240" w:right="419"/>
        <w:spacing w:after="0" w:line="265" w:lineRule="auto"/>
        <w:rPr>
          <w:sz w:val="20"/>
          <w:szCs w:val="20"/>
          <w:color w:val="auto"/>
        </w:rPr>
      </w:pPr>
      <w:r>
        <w:rPr>
          <w:rFonts w:ascii="Times New Roman" w:cs="Times New Roman" w:eastAsia="Times New Roman" w:hAnsi="Times New Roman"/>
          <w:sz w:val="14"/>
          <w:szCs w:val="14"/>
          <w:color w:val="auto"/>
        </w:rPr>
        <w:t>All information provided in this press release and in the attachments is as of the date of the press release. We undertake no obligation to update any forward-looking statement, whether as a result of new information, future events or otherwise, after the date of this release, except as required by law. Such information speaks only as of the date of this release.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Hello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 amounts in thousands, except share and per share data)</w:t>
      </w:r>
    </w:p>
    <w:p>
      <w:pPr>
        <w:spacing w:after="0" w:line="166"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Three months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3"/>
              </w:rPr>
              <w:t>Year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29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Ended December 31</w:t>
            </w:r>
          </w:p>
        </w:tc>
        <w:tc>
          <w:tcPr>
            <w:tcW w:w="7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Ended December 31</w:t>
            </w: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88"/>
        </w:trPr>
        <w:tc>
          <w:tcPr>
            <w:tcW w:w="2980" w:type="dxa"/>
            <w:vAlign w:val="bottom"/>
          </w:tcPr>
          <w:p>
            <w:pPr>
              <w:spacing w:after="0"/>
              <w:rPr>
                <w:sz w:val="7"/>
                <w:szCs w:val="7"/>
                <w:color w:val="auto"/>
              </w:rPr>
            </w:pPr>
          </w:p>
        </w:tc>
        <w:tc>
          <w:tcPr>
            <w:tcW w:w="760" w:type="dxa"/>
            <w:vAlign w:val="bottom"/>
          </w:tcPr>
          <w:p>
            <w:pPr>
              <w:jc w:val="right"/>
              <w:ind w:right="192"/>
              <w:spacing w:after="0" w:line="89" w:lineRule="exact"/>
              <w:rPr>
                <w:sz w:val="20"/>
                <w:szCs w:val="20"/>
                <w:color w:val="auto"/>
              </w:rPr>
            </w:pPr>
            <w:r>
              <w:rPr>
                <w:rFonts w:ascii="Times New Roman" w:cs="Times New Roman" w:eastAsia="Times New Roman" w:hAnsi="Times New Roman"/>
                <w:sz w:val="10"/>
                <w:szCs w:val="10"/>
                <w:color w:val="auto"/>
              </w:rPr>
              <w:t>2024</w:t>
            </w:r>
          </w:p>
        </w:tc>
        <w:tc>
          <w:tcPr>
            <w:tcW w:w="80" w:type="dxa"/>
            <w:vAlign w:val="bottom"/>
          </w:tcPr>
          <w:p>
            <w:pPr>
              <w:spacing w:after="0"/>
              <w:rPr>
                <w:sz w:val="7"/>
                <w:szCs w:val="7"/>
                <w:color w:val="auto"/>
              </w:rPr>
            </w:pPr>
          </w:p>
        </w:tc>
        <w:tc>
          <w:tcPr>
            <w:tcW w:w="860" w:type="dxa"/>
            <w:vAlign w:val="bottom"/>
            <w:gridSpan w:val="2"/>
          </w:tcPr>
          <w:p>
            <w:pPr>
              <w:jc w:val="center"/>
              <w:ind w:left="12"/>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160" w:type="dxa"/>
            <w:vAlign w:val="bottom"/>
          </w:tcPr>
          <w:p>
            <w:pPr>
              <w:spacing w:after="0"/>
              <w:rPr>
                <w:sz w:val="7"/>
                <w:szCs w:val="7"/>
                <w:color w:val="auto"/>
              </w:rPr>
            </w:pPr>
          </w:p>
        </w:tc>
        <w:tc>
          <w:tcPr>
            <w:tcW w:w="760" w:type="dxa"/>
            <w:vAlign w:val="bottom"/>
          </w:tcPr>
          <w:p>
            <w:pPr>
              <w:jc w:val="right"/>
              <w:ind w:right="192"/>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180" w:type="dxa"/>
            <w:vAlign w:val="bottom"/>
          </w:tcPr>
          <w:p>
            <w:pPr>
              <w:spacing w:after="0"/>
              <w:rPr>
                <w:sz w:val="7"/>
                <w:szCs w:val="7"/>
                <w:color w:val="auto"/>
              </w:rPr>
            </w:pPr>
          </w:p>
        </w:tc>
        <w:tc>
          <w:tcPr>
            <w:tcW w:w="760" w:type="dxa"/>
            <w:vAlign w:val="bottom"/>
          </w:tcPr>
          <w:p>
            <w:pPr>
              <w:jc w:val="right"/>
              <w:ind w:right="212"/>
              <w:spacing w:after="0" w:line="89" w:lineRule="exact"/>
              <w:rPr>
                <w:sz w:val="20"/>
                <w:szCs w:val="20"/>
                <w:color w:val="auto"/>
              </w:rPr>
            </w:pPr>
            <w:r>
              <w:rPr>
                <w:rFonts w:ascii="Times New Roman" w:cs="Times New Roman" w:eastAsia="Times New Roman" w:hAnsi="Times New Roman"/>
                <w:sz w:val="10"/>
                <w:szCs w:val="10"/>
                <w:color w:val="auto"/>
              </w:rPr>
              <w:t>2024</w:t>
            </w:r>
          </w:p>
        </w:tc>
        <w:tc>
          <w:tcPr>
            <w:tcW w:w="80" w:type="dxa"/>
            <w:vAlign w:val="bottom"/>
          </w:tcPr>
          <w:p>
            <w:pPr>
              <w:spacing w:after="0"/>
              <w:rPr>
                <w:sz w:val="7"/>
                <w:szCs w:val="7"/>
                <w:color w:val="auto"/>
              </w:rPr>
            </w:pPr>
          </w:p>
        </w:tc>
        <w:tc>
          <w:tcPr>
            <w:tcW w:w="860" w:type="dxa"/>
            <w:vAlign w:val="bottom"/>
            <w:gridSpan w:val="2"/>
          </w:tcPr>
          <w:p>
            <w:pPr>
              <w:jc w:val="center"/>
              <w:ind w:left="32"/>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180" w:type="dxa"/>
            <w:vAlign w:val="bottom"/>
          </w:tcPr>
          <w:p>
            <w:pPr>
              <w:spacing w:after="0"/>
              <w:rPr>
                <w:sz w:val="7"/>
                <w:szCs w:val="7"/>
                <w:color w:val="auto"/>
              </w:rPr>
            </w:pPr>
          </w:p>
        </w:tc>
        <w:tc>
          <w:tcPr>
            <w:tcW w:w="780" w:type="dxa"/>
            <w:vAlign w:val="bottom"/>
          </w:tcPr>
          <w:p>
            <w:pPr>
              <w:jc w:val="right"/>
              <w:ind w:right="212"/>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100" w:type="dxa"/>
            <w:vAlign w:val="bottom"/>
          </w:tcPr>
          <w:p>
            <w:pPr>
              <w:spacing w:after="0"/>
              <w:rPr>
                <w:sz w:val="7"/>
                <w:szCs w:val="7"/>
                <w:color w:val="auto"/>
              </w:rPr>
            </w:pPr>
          </w:p>
        </w:tc>
      </w:tr>
      <w:tr>
        <w:trPr>
          <w:trHeight w:val="132"/>
        </w:trPr>
        <w:tc>
          <w:tcPr>
            <w:tcW w:w="2980" w:type="dxa"/>
            <w:vAlign w:val="bottom"/>
          </w:tcPr>
          <w:p>
            <w:pPr>
              <w:spacing w:after="0"/>
              <w:rPr>
                <w:sz w:val="11"/>
                <w:szCs w:val="11"/>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RMB</w:t>
            </w:r>
          </w:p>
        </w:tc>
        <w:tc>
          <w:tcPr>
            <w:tcW w:w="80" w:type="dxa"/>
            <w:vAlign w:val="bottom"/>
          </w:tcPr>
          <w:p>
            <w:pPr>
              <w:spacing w:after="0"/>
              <w:rPr>
                <w:sz w:val="11"/>
                <w:szCs w:val="11"/>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RMB</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US$</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RMB</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7"/>
              </w:rPr>
              <w:t>RMB</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color w:val="auto"/>
              </w:rPr>
              <w:t>US$</w:t>
            </w:r>
          </w:p>
        </w:tc>
      </w:tr>
      <w:tr>
        <w:trPr>
          <w:trHeight w:val="147"/>
        </w:trPr>
        <w:tc>
          <w:tcPr>
            <w:tcW w:w="298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revenues(i):</w:t>
            </w: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7"/>
        </w:trPr>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Value-added service</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2,591,615</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2,533,104</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362,229</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10,415,580</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10,213,654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1,460,533</w:t>
            </w:r>
          </w:p>
        </w:tc>
        <w:tc>
          <w:tcPr>
            <w:tcW w:w="100" w:type="dxa"/>
            <w:vAlign w:val="bottom"/>
          </w:tcPr>
          <w:p>
            <w:pPr>
              <w:spacing w:after="0"/>
              <w:rPr>
                <w:sz w:val="14"/>
                <w:szCs w:val="14"/>
                <w:color w:val="auto"/>
              </w:rPr>
            </w:pPr>
          </w:p>
        </w:tc>
      </w:tr>
      <w:tr>
        <w:trPr>
          <w:trHeight w:val="167"/>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services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44,881</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42,665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6,101</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147,391</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153,442</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21,942</w:t>
            </w:r>
          </w:p>
        </w:tc>
      </w:tr>
      <w:tr>
        <w:trPr>
          <w:trHeight w:val="168"/>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net revenues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2,636,496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2,575,769</w:t>
            </w:r>
          </w:p>
        </w:tc>
        <w:tc>
          <w:tcPr>
            <w:tcW w:w="16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368,330</w:t>
            </w:r>
          </w:p>
        </w:tc>
        <w:tc>
          <w:tcPr>
            <w:tcW w:w="18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10,562,971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10,367,096</w:t>
            </w:r>
          </w:p>
        </w:tc>
        <w:tc>
          <w:tcPr>
            <w:tcW w:w="18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1,482,475</w:t>
            </w:r>
          </w:p>
        </w:tc>
        <w:tc>
          <w:tcPr>
            <w:tcW w:w="100" w:type="dxa"/>
            <w:vAlign w:val="bottom"/>
          </w:tcPr>
          <w:p>
            <w:pPr>
              <w:spacing w:after="0"/>
              <w:rPr>
                <w:sz w:val="14"/>
                <w:szCs w:val="14"/>
                <w:color w:val="auto"/>
              </w:rPr>
            </w:pPr>
          </w:p>
        </w:tc>
      </w:tr>
      <w:tr>
        <w:trPr>
          <w:trHeight w:val="16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and expenses:</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revenues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(1,724,821)</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(1,611,502)</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(230,442)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(6,447,341)</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(6,446,619)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(921,854)</w:t>
            </w:r>
          </w:p>
        </w:tc>
      </w:tr>
      <w:tr>
        <w:trPr>
          <w:trHeight w:val="167"/>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(222,684)</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(216,558)</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(30,967)</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(804,425)</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(779,449)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(111,460)</w:t>
            </w:r>
          </w:p>
        </w:tc>
      </w:tr>
      <w:tr>
        <w:trPr>
          <w:trHeight w:val="167"/>
        </w:trPr>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(316,699)</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(348,299)</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(49,806)</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(1,329,780)</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(1,368,658)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(195,715)</w:t>
            </w:r>
          </w:p>
        </w:tc>
      </w:tr>
      <w:tr>
        <w:trPr>
          <w:trHeight w:val="167"/>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(143,621)</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(102,051)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(14,593)</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(507,658)</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(455,393)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(65,120)</w:t>
            </w:r>
          </w:p>
        </w:tc>
      </w:tr>
      <w:tr>
        <w:trPr>
          <w:trHeight w:val="168"/>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cost and expenses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(2,407,825)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(2,278,410)</w:t>
            </w:r>
          </w:p>
        </w:tc>
        <w:tc>
          <w:tcPr>
            <w:tcW w:w="16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(325,808)</w:t>
            </w:r>
          </w:p>
        </w:tc>
        <w:tc>
          <w:tcPr>
            <w:tcW w:w="18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(9,089,204)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(9,050,119)</w:t>
            </w:r>
          </w:p>
        </w:tc>
        <w:tc>
          <w:tcPr>
            <w:tcW w:w="18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(1,294,149)</w:t>
            </w:r>
          </w:p>
        </w:tc>
        <w:tc>
          <w:tcPr>
            <w:tcW w:w="100" w:type="dxa"/>
            <w:vAlign w:val="bottom"/>
          </w:tcPr>
          <w:p>
            <w:pPr>
              <w:spacing w:after="0"/>
              <w:rPr>
                <w:sz w:val="14"/>
                <w:szCs w:val="14"/>
                <w:color w:val="auto"/>
              </w:rPr>
            </w:pPr>
          </w:p>
        </w:tc>
      </w:tr>
      <w:tr>
        <w:trPr>
          <w:trHeight w:val="16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operating income, net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8,015</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9,697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59,003</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37,586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5,375</w:t>
            </w:r>
          </w:p>
        </w:tc>
      </w:tr>
      <w:tr>
        <w:trPr>
          <w:trHeight w:val="168"/>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236,686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307,056</w:t>
            </w:r>
          </w:p>
        </w:tc>
        <w:tc>
          <w:tcPr>
            <w:tcW w:w="16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43,909</w:t>
            </w:r>
          </w:p>
        </w:tc>
        <w:tc>
          <w:tcPr>
            <w:tcW w:w="18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1,532,770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1,354,563</w:t>
            </w:r>
          </w:p>
        </w:tc>
        <w:tc>
          <w:tcPr>
            <w:tcW w:w="18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193,701</w:t>
            </w:r>
          </w:p>
        </w:tc>
        <w:tc>
          <w:tcPr>
            <w:tcW w:w="100" w:type="dxa"/>
            <w:vAlign w:val="bottom"/>
          </w:tcPr>
          <w:p>
            <w:pPr>
              <w:spacing w:after="0"/>
              <w:rPr>
                <w:sz w:val="14"/>
                <w:szCs w:val="14"/>
                <w:color w:val="auto"/>
              </w:rPr>
            </w:pPr>
          </w:p>
        </w:tc>
      </w:tr>
      <w:tr>
        <w:trPr>
          <w:trHeight w:val="16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124,045</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58,306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510,964</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374,466</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53,548</w:t>
            </w:r>
          </w:p>
        </w:tc>
      </w:tr>
      <w:tr>
        <w:trPr>
          <w:trHeight w:val="167"/>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(36,846)</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(29)</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(127,846)</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(72,438)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(10,358)</w:t>
            </w:r>
          </w:p>
        </w:tc>
      </w:tr>
      <w:tr>
        <w:trPr>
          <w:trHeight w:val="16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gain or loss, net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(46,639)</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3,902</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558</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(90,509)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813</w:t>
            </w:r>
          </w:p>
        </w:tc>
      </w:tr>
      <w:tr>
        <w:trPr>
          <w:trHeight w:val="152"/>
        </w:trPr>
        <w:tc>
          <w:tcPr>
            <w:tcW w:w="298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Income before income tax and share of (loss)</w:t>
            </w: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4"/>
        </w:trPr>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income on equity method investments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277,246</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369,235</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52,801</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1,825,379</w:t>
            </w: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1,662,273</w:t>
            </w: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237,704</w:t>
            </w:r>
          </w:p>
        </w:tc>
      </w:tr>
      <w:tr>
        <w:trPr>
          <w:trHeight w:val="16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(89,497)</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(68,943)</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(9,859)</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(845,022)</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(842,869)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(120,529)</w:t>
            </w:r>
          </w:p>
        </w:tc>
      </w:tr>
      <w:tr>
        <w:trPr>
          <w:trHeight w:val="152"/>
        </w:trPr>
        <w:tc>
          <w:tcPr>
            <w:tcW w:w="298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Income before share of (loss) income on equity</w:t>
            </w: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4"/>
        </w:trPr>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method investments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187,749</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300,292</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42,942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980,357</w:t>
            </w: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819,404</w:t>
            </w: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117,175</w:t>
            </w:r>
          </w:p>
        </w:tc>
      </w:tr>
      <w:tr>
        <w:trPr>
          <w:trHeight w:val="153"/>
        </w:trPr>
        <w:tc>
          <w:tcPr>
            <w:tcW w:w="29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Share of (loss) income on equity method</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(514)</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(62,458)</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(8,931)</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59,216</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(12,879)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(1,842)</w:t>
            </w:r>
          </w:p>
        </w:tc>
      </w:tr>
      <w:tr>
        <w:trPr>
          <w:trHeight w:val="168"/>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187,235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237,834</w:t>
            </w:r>
          </w:p>
        </w:tc>
        <w:tc>
          <w:tcPr>
            <w:tcW w:w="1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34,011</w:t>
            </w:r>
          </w:p>
        </w:tc>
        <w:tc>
          <w:tcPr>
            <w:tcW w:w="1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1,039,573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806,525</w:t>
            </w:r>
          </w:p>
        </w:tc>
        <w:tc>
          <w:tcPr>
            <w:tcW w:w="1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115,333</w:t>
            </w:r>
          </w:p>
        </w:tc>
        <w:tc>
          <w:tcPr>
            <w:tcW w:w="100" w:type="dxa"/>
            <w:vAlign w:val="bottom"/>
          </w:tcPr>
          <w:p>
            <w:pPr>
              <w:spacing w:after="0"/>
              <w:rPr>
                <w:sz w:val="14"/>
                <w:szCs w:val="14"/>
                <w:color w:val="auto"/>
              </w:rPr>
            </w:pPr>
          </w:p>
        </w:tc>
      </w:tr>
      <w:tr>
        <w:trPr>
          <w:trHeight w:val="20"/>
        </w:trPr>
        <w:tc>
          <w:tcPr>
            <w:tcW w:w="2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Less: net income attributable to non-controlling</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2"/>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359</w:t>
            </w:r>
          </w:p>
        </w:tc>
      </w:tr>
      <w:tr>
        <w:trPr>
          <w:trHeight w:val="152"/>
        </w:trPr>
        <w:tc>
          <w:tcPr>
            <w:tcW w:w="298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Net income attributable to the shareholders of</w:t>
            </w: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4"/>
        </w:trPr>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Hello Group Inc.</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187,235</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237,335</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33,940</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1,039,573</w:t>
            </w: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804,013</w:t>
            </w: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114,974</w:t>
            </w:r>
          </w:p>
        </w:tc>
      </w:tr>
      <w:tr>
        <w:trPr>
          <w:trHeight w:val="20"/>
        </w:trPr>
        <w:tc>
          <w:tcPr>
            <w:tcW w:w="2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Net income per share attributable to ordinary</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2"/>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shareholders</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0.54</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0.73</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0.10</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2.81</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2.42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0.35</w:t>
            </w:r>
          </w:p>
        </w:tc>
      </w:tr>
      <w:tr>
        <w:trPr>
          <w:trHeight w:val="167"/>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0.53</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0.72</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0.10</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2.78</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0.34</w:t>
            </w:r>
          </w:p>
        </w:tc>
      </w:tr>
      <w:tr>
        <w:trPr>
          <w:trHeight w:val="153"/>
        </w:trPr>
        <w:tc>
          <w:tcPr>
            <w:tcW w:w="29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shares used in calculating net</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per ordinary share</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7"/>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349,401,183</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324,712,989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324,712,989</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369,312,997</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332,356,281</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332,356,281</w:t>
            </w:r>
          </w:p>
        </w:tc>
        <w:tc>
          <w:tcPr>
            <w:tcW w:w="100" w:type="dxa"/>
            <w:vAlign w:val="bottom"/>
            <w:shd w:val="clear" w:color="auto" w:fill="CCEEFF"/>
          </w:tcPr>
          <w:p>
            <w:pPr>
              <w:spacing w:after="0"/>
              <w:rPr>
                <w:sz w:val="14"/>
                <w:szCs w:val="14"/>
                <w:color w:val="auto"/>
              </w:rPr>
            </w:pPr>
          </w:p>
        </w:tc>
      </w:tr>
      <w:tr>
        <w:trPr>
          <w:trHeight w:val="182"/>
        </w:trPr>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355,325,921</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330,556,192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330,556,192</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373,591,974</w:t>
            </w:r>
          </w:p>
        </w:tc>
        <w:tc>
          <w:tcPr>
            <w:tcW w:w="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338,597,079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338,597,079</w:t>
            </w:r>
          </w:p>
        </w:tc>
        <w:tc>
          <w:tcPr>
            <w:tcW w:w="100" w:type="dxa"/>
            <w:vAlign w:val="bottom"/>
          </w:tcPr>
          <w:p>
            <w:pPr>
              <w:spacing w:after="0"/>
              <w:rPr>
                <w:sz w:val="15"/>
                <w:szCs w:val="15"/>
                <w:color w:val="auto"/>
              </w:rPr>
            </w:pPr>
          </w:p>
        </w:tc>
      </w:tr>
    </w:tbl>
    <w:p>
      <w:pPr>
        <w:spacing w:after="0" w:line="159" w:lineRule="exact"/>
        <w:rPr>
          <w:sz w:val="20"/>
          <w:szCs w:val="20"/>
          <w:color w:val="auto"/>
        </w:rPr>
      </w:pPr>
    </w:p>
    <w:p>
      <w:pPr>
        <w:ind w:left="560" w:hanging="325"/>
        <w:spacing w:after="0"/>
        <w:tabs>
          <w:tab w:leader="none" w:pos="5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revenues by geographic area based on the addresses of our customers of our users:</w:t>
      </w:r>
    </w:p>
    <w:p>
      <w:pPr>
        <w:spacing w:after="0" w:line="181"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Three months</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Year</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2"/>
        </w:trPr>
        <w:tc>
          <w:tcPr>
            <w:tcW w:w="4200" w:type="dxa"/>
            <w:vAlign w:val="bottom"/>
          </w:tcPr>
          <w:p>
            <w:pPr>
              <w:spacing w:after="0"/>
              <w:rPr>
                <w:sz w:val="11"/>
                <w:szCs w:val="11"/>
                <w:color w:val="auto"/>
              </w:rPr>
            </w:pPr>
          </w:p>
        </w:tc>
        <w:tc>
          <w:tcPr>
            <w:tcW w:w="14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1"/>
                <w:szCs w:val="11"/>
                <w:color w:val="auto"/>
              </w:rPr>
              <w:t>Ended December 31</w:t>
            </w: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1"/>
                <w:szCs w:val="11"/>
                <w:color w:val="auto"/>
              </w:rPr>
              <w:t>Ended December 31</w:t>
            </w:r>
          </w:p>
        </w:tc>
        <w:tc>
          <w:tcPr>
            <w:tcW w:w="6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8"/>
        </w:trPr>
        <w:tc>
          <w:tcPr>
            <w:tcW w:w="4200" w:type="dxa"/>
            <w:vAlign w:val="bottom"/>
          </w:tcPr>
          <w:p>
            <w:pPr>
              <w:spacing w:after="0"/>
              <w:rPr>
                <w:sz w:val="7"/>
                <w:szCs w:val="7"/>
                <w:color w:val="auto"/>
              </w:rPr>
            </w:pPr>
          </w:p>
        </w:tc>
        <w:tc>
          <w:tcPr>
            <w:tcW w:w="600" w:type="dxa"/>
            <w:vAlign w:val="bottom"/>
          </w:tcPr>
          <w:p>
            <w:pPr>
              <w:ind w:left="200"/>
              <w:spacing w:after="0" w:line="89" w:lineRule="exact"/>
              <w:rPr>
                <w:sz w:val="20"/>
                <w:szCs w:val="20"/>
                <w:color w:val="auto"/>
              </w:rPr>
            </w:pPr>
            <w:r>
              <w:rPr>
                <w:rFonts w:ascii="Times New Roman" w:cs="Times New Roman" w:eastAsia="Times New Roman" w:hAnsi="Times New Roman"/>
                <w:sz w:val="10"/>
                <w:szCs w:val="10"/>
                <w:color w:val="auto"/>
              </w:rPr>
              <w:t>2024</w:t>
            </w:r>
          </w:p>
        </w:tc>
        <w:tc>
          <w:tcPr>
            <w:tcW w:w="40" w:type="dxa"/>
            <w:vAlign w:val="bottom"/>
          </w:tcPr>
          <w:p>
            <w:pPr>
              <w:spacing w:after="0"/>
              <w:rPr>
                <w:sz w:val="7"/>
                <w:szCs w:val="7"/>
                <w:color w:val="auto"/>
              </w:rPr>
            </w:pPr>
          </w:p>
        </w:tc>
        <w:tc>
          <w:tcPr>
            <w:tcW w:w="700" w:type="dxa"/>
            <w:vAlign w:val="bottom"/>
            <w:gridSpan w:val="2"/>
          </w:tcPr>
          <w:p>
            <w:pPr>
              <w:jc w:val="right"/>
              <w:ind w:right="137"/>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120" w:type="dxa"/>
            <w:vAlign w:val="bottom"/>
          </w:tcPr>
          <w:p>
            <w:pPr>
              <w:spacing w:after="0"/>
              <w:rPr>
                <w:sz w:val="7"/>
                <w:szCs w:val="7"/>
                <w:color w:val="auto"/>
              </w:rPr>
            </w:pPr>
          </w:p>
        </w:tc>
        <w:tc>
          <w:tcPr>
            <w:tcW w:w="500" w:type="dxa"/>
            <w:vAlign w:val="bottom"/>
          </w:tcPr>
          <w:p>
            <w:pPr>
              <w:ind w:left="140"/>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140" w:type="dxa"/>
            <w:vAlign w:val="bottom"/>
          </w:tcPr>
          <w:p>
            <w:pPr>
              <w:spacing w:after="0"/>
              <w:rPr>
                <w:sz w:val="7"/>
                <w:szCs w:val="7"/>
                <w:color w:val="auto"/>
              </w:rPr>
            </w:pPr>
          </w:p>
        </w:tc>
        <w:tc>
          <w:tcPr>
            <w:tcW w:w="660" w:type="dxa"/>
            <w:vAlign w:val="bottom"/>
          </w:tcPr>
          <w:p>
            <w:pPr>
              <w:jc w:val="right"/>
              <w:ind w:right="158"/>
              <w:spacing w:after="0" w:line="89" w:lineRule="exact"/>
              <w:rPr>
                <w:sz w:val="20"/>
                <w:szCs w:val="20"/>
                <w:color w:val="auto"/>
              </w:rPr>
            </w:pPr>
            <w:r>
              <w:rPr>
                <w:rFonts w:ascii="Times New Roman" w:cs="Times New Roman" w:eastAsia="Times New Roman" w:hAnsi="Times New Roman"/>
                <w:sz w:val="10"/>
                <w:szCs w:val="10"/>
                <w:color w:val="auto"/>
              </w:rPr>
              <w:t>2024</w:t>
            </w:r>
          </w:p>
        </w:tc>
        <w:tc>
          <w:tcPr>
            <w:tcW w:w="800" w:type="dxa"/>
            <w:vAlign w:val="bottom"/>
            <w:gridSpan w:val="2"/>
          </w:tcPr>
          <w:p>
            <w:pPr>
              <w:jc w:val="right"/>
              <w:ind w:right="160"/>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120" w:type="dxa"/>
            <w:vAlign w:val="bottom"/>
          </w:tcPr>
          <w:p>
            <w:pPr>
              <w:spacing w:after="0"/>
              <w:rPr>
                <w:sz w:val="7"/>
                <w:szCs w:val="7"/>
                <w:color w:val="auto"/>
              </w:rPr>
            </w:pPr>
          </w:p>
        </w:tc>
        <w:tc>
          <w:tcPr>
            <w:tcW w:w="620" w:type="dxa"/>
            <w:vAlign w:val="bottom"/>
          </w:tcPr>
          <w:p>
            <w:pPr>
              <w:jc w:val="right"/>
              <w:ind w:right="137"/>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40" w:type="dxa"/>
            <w:vAlign w:val="bottom"/>
          </w:tcPr>
          <w:p>
            <w:pPr>
              <w:spacing w:after="0"/>
              <w:rPr>
                <w:sz w:val="7"/>
                <w:szCs w:val="7"/>
                <w:color w:val="auto"/>
              </w:rPr>
            </w:pPr>
          </w:p>
        </w:tc>
      </w:tr>
      <w:tr>
        <w:trPr>
          <w:trHeight w:val="132"/>
        </w:trPr>
        <w:tc>
          <w:tcPr>
            <w:tcW w:w="4200" w:type="dxa"/>
            <w:vAlign w:val="bottom"/>
          </w:tcPr>
          <w:p>
            <w:pPr>
              <w:spacing w:after="0"/>
              <w:rPr>
                <w:sz w:val="11"/>
                <w:szCs w:val="11"/>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RMB</w:t>
            </w:r>
          </w:p>
        </w:tc>
        <w:tc>
          <w:tcPr>
            <w:tcW w:w="100" w:type="dxa"/>
            <w:vAlign w:val="bottom"/>
          </w:tcPr>
          <w:p>
            <w:pPr>
              <w:spacing w:after="0"/>
              <w:rPr>
                <w:sz w:val="11"/>
                <w:szCs w:val="11"/>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RMB</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US$</w:t>
            </w:r>
          </w:p>
        </w:tc>
        <w:tc>
          <w:tcPr>
            <w:tcW w:w="660" w:type="dxa"/>
            <w:vAlign w:val="bottom"/>
          </w:tcPr>
          <w:p>
            <w:pPr>
              <w:jc w:val="right"/>
              <w:ind w:right="138"/>
              <w:spacing w:after="0"/>
              <w:rPr>
                <w:sz w:val="20"/>
                <w:szCs w:val="20"/>
                <w:color w:val="auto"/>
              </w:rPr>
            </w:pPr>
            <w:r>
              <w:rPr>
                <w:rFonts w:ascii="Times New Roman" w:cs="Times New Roman" w:eastAsia="Times New Roman" w:hAnsi="Times New Roman"/>
                <w:sz w:val="11"/>
                <w:szCs w:val="11"/>
                <w:color w:val="auto"/>
              </w:rPr>
              <w:t>RMB</w:t>
            </w:r>
          </w:p>
        </w:tc>
        <w:tc>
          <w:tcPr>
            <w:tcW w:w="120" w:type="dxa"/>
            <w:vAlign w:val="bottom"/>
          </w:tcPr>
          <w:p>
            <w:pPr>
              <w:spacing w:after="0"/>
              <w:rPr>
                <w:sz w:val="11"/>
                <w:szCs w:val="11"/>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RMB</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US$</w:t>
            </w:r>
          </w:p>
        </w:tc>
      </w:tr>
      <w:tr>
        <w:trPr>
          <w:trHeight w:val="158"/>
        </w:trPr>
        <w:tc>
          <w:tcPr>
            <w:tcW w:w="420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Chinese mainland</w:t>
            </w:r>
          </w:p>
        </w:tc>
        <w:tc>
          <w:tcPr>
            <w:tcW w:w="60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2,279,440</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1,967,582</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281,360</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9,392,079</w:t>
            </w: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8,367,094</w:t>
            </w: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1,196,479</w:t>
            </w:r>
          </w:p>
        </w:tc>
        <w:tc>
          <w:tcPr>
            <w:tcW w:w="40" w:type="dxa"/>
            <w:vAlign w:val="bottom"/>
            <w:tcBorders>
              <w:top w:val="single" w:sz="8" w:color="CCEEFF"/>
            </w:tcBorders>
            <w:shd w:val="clear" w:color="auto" w:fill="CCEEFF"/>
          </w:tcPr>
          <w:p>
            <w:pPr>
              <w:spacing w:after="0"/>
              <w:rPr>
                <w:sz w:val="13"/>
                <w:szCs w:val="13"/>
                <w:color w:val="auto"/>
              </w:rPr>
            </w:pPr>
          </w:p>
        </w:tc>
      </w:tr>
      <w:tr>
        <w:trPr>
          <w:trHeight w:val="167"/>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Overseas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357,056</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608,187</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86,970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1,170,892</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2,000,002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285,996</w:t>
            </w:r>
          </w:p>
        </w:tc>
      </w:tr>
      <w:tr>
        <w:trPr>
          <w:trHeight w:val="21"/>
        </w:trPr>
        <w:tc>
          <w:tcPr>
            <w:tcW w:w="4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2,636,496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2,575,769</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368,330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10,562,971</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10,367,096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1,482,475</w:t>
            </w:r>
          </w:p>
        </w:tc>
      </w:tr>
      <w:tr>
        <w:trPr>
          <w:trHeight w:val="20"/>
        </w:trPr>
        <w:tc>
          <w:tcPr>
            <w:tcW w:w="4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4200" w:type="dxa"/>
            <w:vAlign w:val="bottom"/>
          </w:tcPr>
          <w:p>
            <w:pPr>
              <w:spacing w:after="0"/>
              <w:rPr>
                <w:sz w:val="23"/>
                <w:szCs w:val="23"/>
                <w:color w:val="auto"/>
              </w:rPr>
            </w:pPr>
          </w:p>
        </w:tc>
        <w:tc>
          <w:tcPr>
            <w:tcW w:w="600" w:type="dxa"/>
            <w:vAlign w:val="bottom"/>
          </w:tcPr>
          <w:p>
            <w:pPr>
              <w:jc w:val="right"/>
              <w:ind w:right="437"/>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9019"/>
          </w:cols>
          <w:pgMar w:left="1440" w:top="238"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Hello Group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 of Comprehensive Income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 amounts in thousands, except share and per share data)</w:t>
      </w:r>
    </w:p>
    <w:p>
      <w:pPr>
        <w:spacing w:after="0" w:line="166"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color w:val="auto"/>
              </w:rPr>
              <w:t>Three months</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Year</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Borders>
              <w:bottom w:val="single" w:sz="8" w:color="auto"/>
            </w:tcBorders>
            <w:gridSpan w:val="6"/>
          </w:tcPr>
          <w:p>
            <w:pPr>
              <w:jc w:val="center"/>
              <w:ind w:left="377"/>
              <w:spacing w:after="0"/>
              <w:rPr>
                <w:sz w:val="20"/>
                <w:szCs w:val="20"/>
                <w:color w:val="auto"/>
              </w:rPr>
            </w:pPr>
            <w:r>
              <w:rPr>
                <w:rFonts w:ascii="Times New Roman" w:cs="Times New Roman" w:eastAsia="Times New Roman" w:hAnsi="Times New Roman"/>
                <w:sz w:val="11"/>
                <w:szCs w:val="11"/>
                <w:color w:val="auto"/>
              </w:rPr>
              <w:t>Ended December 31</w:t>
            </w:r>
          </w:p>
        </w:tc>
        <w:tc>
          <w:tcPr>
            <w:tcW w:w="4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Ended December 31</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ind w:left="140"/>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40" w:type="dxa"/>
            <w:vAlign w:val="bottom"/>
          </w:tcPr>
          <w:p>
            <w:pPr>
              <w:spacing w:after="0"/>
              <w:rPr>
                <w:sz w:val="9"/>
                <w:szCs w:val="9"/>
                <w:color w:val="auto"/>
              </w:rPr>
            </w:pPr>
          </w:p>
        </w:tc>
        <w:tc>
          <w:tcPr>
            <w:tcW w:w="600" w:type="dxa"/>
            <w:vAlign w:val="bottom"/>
            <w:gridSpan w:val="2"/>
          </w:tcPr>
          <w:p>
            <w:pPr>
              <w:jc w:val="center"/>
              <w:ind w:left="37"/>
              <w:spacing w:after="0" w:line="106" w:lineRule="exact"/>
              <w:rPr>
                <w:sz w:val="20"/>
                <w:szCs w:val="20"/>
                <w:color w:val="auto"/>
              </w:rPr>
            </w:pPr>
            <w:r>
              <w:rPr>
                <w:rFonts w:ascii="Times New Roman" w:cs="Times New Roman" w:eastAsia="Times New Roman" w:hAnsi="Times New Roman"/>
                <w:sz w:val="11"/>
                <w:szCs w:val="11"/>
                <w:color w:val="auto"/>
                <w:w w:val="99"/>
              </w:rPr>
              <w:t>2025</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ind w:right="54"/>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180" w:type="dxa"/>
            <w:vAlign w:val="bottom"/>
          </w:tcPr>
          <w:p>
            <w:pPr>
              <w:spacing w:after="0"/>
              <w:rPr>
                <w:sz w:val="9"/>
                <w:szCs w:val="9"/>
                <w:color w:val="auto"/>
              </w:rPr>
            </w:pPr>
          </w:p>
        </w:tc>
        <w:tc>
          <w:tcPr>
            <w:tcW w:w="600" w:type="dxa"/>
            <w:vAlign w:val="bottom"/>
          </w:tcPr>
          <w:p>
            <w:pPr>
              <w:jc w:val="right"/>
              <w:ind w:right="135"/>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120" w:type="dxa"/>
            <w:vAlign w:val="bottom"/>
          </w:tcPr>
          <w:p>
            <w:pPr>
              <w:spacing w:after="0"/>
              <w:rPr>
                <w:sz w:val="9"/>
                <w:szCs w:val="9"/>
                <w:color w:val="auto"/>
              </w:rPr>
            </w:pPr>
          </w:p>
        </w:tc>
        <w:tc>
          <w:tcPr>
            <w:tcW w:w="560" w:type="dxa"/>
            <w:vAlign w:val="bottom"/>
          </w:tcPr>
          <w:p>
            <w:pPr>
              <w:jc w:val="right"/>
              <w:ind w:right="95"/>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160" w:type="dxa"/>
            <w:vAlign w:val="bottom"/>
          </w:tcPr>
          <w:p>
            <w:pPr>
              <w:spacing w:after="0"/>
              <w:rPr>
                <w:sz w:val="9"/>
                <w:szCs w:val="9"/>
                <w:color w:val="auto"/>
              </w:rPr>
            </w:pPr>
          </w:p>
        </w:tc>
        <w:tc>
          <w:tcPr>
            <w:tcW w:w="480" w:type="dxa"/>
            <w:vAlign w:val="bottom"/>
          </w:tcPr>
          <w:p>
            <w:pPr>
              <w:jc w:val="right"/>
              <w:ind w:right="54"/>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220" w:type="dxa"/>
            <w:vAlign w:val="bottom"/>
            <w:tcBorders>
              <w:bottom w:val="single" w:sz="8" w:color="CCEEFF"/>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ind w:left="140"/>
              <w:spacing w:after="0" w:line="106" w:lineRule="exact"/>
              <w:rPr>
                <w:sz w:val="20"/>
                <w:szCs w:val="20"/>
                <w:color w:val="auto"/>
              </w:rPr>
            </w:pPr>
            <w:r>
              <w:rPr>
                <w:rFonts w:ascii="Times New Roman" w:cs="Times New Roman" w:eastAsia="Times New Roman" w:hAnsi="Times New Roman"/>
                <w:sz w:val="11"/>
                <w:szCs w:val="11"/>
                <w:color w:val="auto"/>
              </w:rPr>
              <w:t>RMB</w:t>
            </w:r>
          </w:p>
        </w:tc>
        <w:tc>
          <w:tcPr>
            <w:tcW w:w="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color w:val="auto"/>
              </w:rPr>
              <w:t>RMB</w:t>
            </w:r>
          </w:p>
        </w:tc>
        <w:tc>
          <w:tcPr>
            <w:tcW w:w="16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74"/>
              <w:spacing w:after="0" w:line="106" w:lineRule="exact"/>
              <w:rPr>
                <w:sz w:val="20"/>
                <w:szCs w:val="20"/>
                <w:color w:val="auto"/>
              </w:rPr>
            </w:pPr>
            <w:r>
              <w:rPr>
                <w:rFonts w:ascii="Times New Roman" w:cs="Times New Roman" w:eastAsia="Times New Roman" w:hAnsi="Times New Roman"/>
                <w:sz w:val="11"/>
                <w:szCs w:val="11"/>
                <w:color w:val="auto"/>
              </w:rPr>
              <w:t>US$</w:t>
            </w:r>
          </w:p>
        </w:tc>
        <w:tc>
          <w:tcPr>
            <w:tcW w:w="180" w:type="dxa"/>
            <w:vAlign w:val="bottom"/>
            <w:tcBorders>
              <w:bottom w:val="single" w:sz="8" w:color="CCEEFF"/>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15"/>
              <w:spacing w:after="0" w:line="106" w:lineRule="exact"/>
              <w:rPr>
                <w:sz w:val="20"/>
                <w:szCs w:val="20"/>
                <w:color w:val="auto"/>
              </w:rPr>
            </w:pPr>
            <w:r>
              <w:rPr>
                <w:rFonts w:ascii="Times New Roman" w:cs="Times New Roman" w:eastAsia="Times New Roman" w:hAnsi="Times New Roman"/>
                <w:sz w:val="11"/>
                <w:szCs w:val="11"/>
                <w:color w:val="auto"/>
              </w:rPr>
              <w:t>RMB</w:t>
            </w:r>
          </w:p>
        </w:tc>
        <w:tc>
          <w:tcPr>
            <w:tcW w:w="120" w:type="dxa"/>
            <w:vAlign w:val="bottom"/>
            <w:tcBorders>
              <w:bottom w:val="single" w:sz="8" w:color="CCEEFF"/>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95"/>
              <w:spacing w:after="0" w:line="106" w:lineRule="exact"/>
              <w:rPr>
                <w:sz w:val="20"/>
                <w:szCs w:val="20"/>
                <w:color w:val="auto"/>
              </w:rPr>
            </w:pPr>
            <w:r>
              <w:rPr>
                <w:rFonts w:ascii="Times New Roman" w:cs="Times New Roman" w:eastAsia="Times New Roman" w:hAnsi="Times New Roman"/>
                <w:sz w:val="11"/>
                <w:szCs w:val="11"/>
                <w:color w:val="auto"/>
              </w:rPr>
              <w:t>RMB</w:t>
            </w:r>
          </w:p>
        </w:tc>
        <w:tc>
          <w:tcPr>
            <w:tcW w:w="160" w:type="dxa"/>
            <w:vAlign w:val="bottom"/>
            <w:tcBorders>
              <w:bottom w:val="single" w:sz="8" w:color="CCEEFF"/>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74"/>
              <w:spacing w:after="0" w:line="106" w:lineRule="exact"/>
              <w:rPr>
                <w:sz w:val="20"/>
                <w:szCs w:val="20"/>
                <w:color w:val="auto"/>
              </w:rPr>
            </w:pPr>
            <w:r>
              <w:rPr>
                <w:rFonts w:ascii="Times New Roman" w:cs="Times New Roman" w:eastAsia="Times New Roman" w:hAnsi="Times New Roman"/>
                <w:sz w:val="11"/>
                <w:szCs w:val="11"/>
                <w:color w:val="auto"/>
              </w:rPr>
              <w:t>US$</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2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340" w:type="dxa"/>
            <w:vAlign w:val="bottom"/>
            <w:shd w:val="clear" w:color="auto" w:fill="CCEEFF"/>
          </w:tcPr>
          <w:p>
            <w:pPr>
              <w:spacing w:after="0"/>
              <w:rPr>
                <w:sz w:val="13"/>
                <w:szCs w:val="13"/>
                <w:color w:val="auto"/>
              </w:rPr>
            </w:pPr>
          </w:p>
        </w:tc>
        <w:tc>
          <w:tcPr>
            <w:tcW w:w="500" w:type="dxa"/>
            <w:vAlign w:val="bottom"/>
            <w:shd w:val="clear" w:color="auto" w:fill="CCEEFF"/>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w w:val="92"/>
              </w:rPr>
              <w:t>187,235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237,834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34,011</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1,039,573</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806,525</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115,333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322,935</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(89,088)</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6"/>
              </w:rPr>
              <w:t>(12,739)</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132,248</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(245,615)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(35,122)</w:t>
            </w:r>
          </w:p>
        </w:tc>
        <w:tc>
          <w:tcPr>
            <w:tcW w:w="0" w:type="dxa"/>
            <w:vAlign w:val="bottom"/>
          </w:tcPr>
          <w:p>
            <w:pPr>
              <w:spacing w:after="0"/>
              <w:rPr>
                <w:sz w:val="1"/>
                <w:szCs w:val="1"/>
                <w:color w:val="auto"/>
              </w:rPr>
            </w:pPr>
          </w:p>
        </w:tc>
      </w:tr>
      <w:tr>
        <w:trPr>
          <w:trHeight w:val="168"/>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340" w:type="dxa"/>
            <w:vAlign w:val="bottom"/>
          </w:tcPr>
          <w:p>
            <w:pPr>
              <w:spacing w:after="0"/>
              <w:rPr>
                <w:sz w:val="14"/>
                <w:szCs w:val="14"/>
                <w:color w:val="auto"/>
              </w:rPr>
            </w:pPr>
          </w:p>
        </w:tc>
        <w:tc>
          <w:tcPr>
            <w:tcW w:w="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2"/>
              </w:rPr>
              <w:t>510,170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148,746</w:t>
            </w: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21,272</w:t>
            </w:r>
          </w:p>
        </w:tc>
        <w:tc>
          <w:tcPr>
            <w:tcW w:w="18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1,171,821</w:t>
            </w:r>
          </w:p>
        </w:tc>
        <w:tc>
          <w:tcPr>
            <w:tcW w:w="12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560,910</w:t>
            </w:r>
          </w:p>
        </w:tc>
        <w:tc>
          <w:tcPr>
            <w:tcW w:w="16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80,211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8"/>
              </w:rPr>
              <w:t>Less: comprehensive income (loss) attributed to the non-controlling interest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7,225</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(4,689)</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5,111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(1,073)</w:t>
            </w:r>
          </w:p>
        </w:tc>
        <w:tc>
          <w:tcPr>
            <w:tcW w:w="0" w:type="dxa"/>
            <w:vAlign w:val="bottom"/>
          </w:tcPr>
          <w:p>
            <w:pPr>
              <w:spacing w:after="0"/>
              <w:rPr>
                <w:sz w:val="1"/>
                <w:szCs w:val="1"/>
                <w:color w:val="auto"/>
              </w:rPr>
            </w:pPr>
          </w:p>
        </w:tc>
      </w:tr>
      <w:tr>
        <w:trPr>
          <w:trHeight w:val="168"/>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Hello Group Inc.</w:t>
            </w:r>
          </w:p>
        </w:tc>
        <w:tc>
          <w:tcPr>
            <w:tcW w:w="340" w:type="dxa"/>
            <w:vAlign w:val="bottom"/>
          </w:tcPr>
          <w:p>
            <w:pPr>
              <w:spacing w:after="0"/>
              <w:rPr>
                <w:sz w:val="14"/>
                <w:szCs w:val="14"/>
                <w:color w:val="auto"/>
              </w:rPr>
            </w:pPr>
          </w:p>
        </w:tc>
        <w:tc>
          <w:tcPr>
            <w:tcW w:w="5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2"/>
              </w:rPr>
              <w:t>502,945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153,435</w:t>
            </w: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21,943</w:t>
            </w:r>
          </w:p>
        </w:tc>
        <w:tc>
          <w:tcPr>
            <w:tcW w:w="1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1,166,710</w:t>
            </w:r>
          </w:p>
        </w:tc>
        <w:tc>
          <w:tcPr>
            <w:tcW w:w="1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568,415</w:t>
            </w:r>
          </w:p>
        </w:tc>
        <w:tc>
          <w:tcPr>
            <w:tcW w:w="1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81,284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w w:val="85"/>
              </w:rPr>
              <w:t>8</w:t>
            </w: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220" w:type="dxa"/>
            <w:vAlign w:val="bottom"/>
          </w:tcPr>
          <w:p>
            <w:pPr>
              <w:spacing w:after="0"/>
              <w:rPr>
                <w:sz w:val="23"/>
                <w:szCs w:val="23"/>
                <w:color w:val="auto"/>
              </w:rPr>
            </w:pPr>
          </w:p>
        </w:tc>
        <w:tc>
          <w:tcPr>
            <w:tcW w:w="340" w:type="dxa"/>
            <w:vAlign w:val="bottom"/>
            <w:vMerge w:val="continue"/>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8"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Hello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 amounts in thousands, except share and per share data)</w:t>
      </w:r>
    </w:p>
    <w:p>
      <w:pPr>
        <w:spacing w:after="0" w:line="166"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63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December 31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December 31</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660" w:type="dxa"/>
            <w:vAlign w:val="bottom"/>
          </w:tcPr>
          <w:p>
            <w:pPr>
              <w:jc w:val="right"/>
              <w:ind w:right="151"/>
              <w:spacing w:after="0" w:line="115" w:lineRule="exact"/>
              <w:rPr>
                <w:sz w:val="20"/>
                <w:szCs w:val="20"/>
                <w:color w:val="auto"/>
              </w:rPr>
            </w:pPr>
            <w:r>
              <w:rPr>
                <w:rFonts w:ascii="Times New Roman" w:cs="Times New Roman" w:eastAsia="Times New Roman" w:hAnsi="Times New Roman"/>
                <w:sz w:val="11"/>
                <w:szCs w:val="11"/>
                <w:color w:val="auto"/>
              </w:rPr>
              <w:t>2024</w:t>
            </w:r>
          </w:p>
        </w:tc>
        <w:tc>
          <w:tcPr>
            <w:tcW w:w="120" w:type="dxa"/>
            <w:vAlign w:val="bottom"/>
          </w:tcPr>
          <w:p>
            <w:pPr>
              <w:spacing w:after="0"/>
              <w:rPr>
                <w:sz w:val="10"/>
                <w:szCs w:val="10"/>
                <w:color w:val="auto"/>
              </w:rPr>
            </w:pPr>
          </w:p>
        </w:tc>
        <w:tc>
          <w:tcPr>
            <w:tcW w:w="680" w:type="dxa"/>
            <w:vAlign w:val="bottom"/>
          </w:tcPr>
          <w:p>
            <w:pPr>
              <w:jc w:val="right"/>
              <w:ind w:right="151"/>
              <w:spacing w:after="0" w:line="115" w:lineRule="exact"/>
              <w:rPr>
                <w:sz w:val="20"/>
                <w:szCs w:val="20"/>
                <w:color w:val="auto"/>
              </w:rPr>
            </w:pPr>
            <w:r>
              <w:rPr>
                <w:rFonts w:ascii="Times New Roman" w:cs="Times New Roman" w:eastAsia="Times New Roman" w:hAnsi="Times New Roman"/>
                <w:sz w:val="11"/>
                <w:szCs w:val="11"/>
                <w:color w:val="auto"/>
              </w:rPr>
              <w:t>2025</w:t>
            </w:r>
          </w:p>
        </w:tc>
        <w:tc>
          <w:tcPr>
            <w:tcW w:w="12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300" w:type="dxa"/>
            <w:vAlign w:val="bottom"/>
          </w:tcPr>
          <w:p>
            <w:pPr>
              <w:spacing w:after="0"/>
              <w:rPr>
                <w:sz w:val="11"/>
                <w:szCs w:val="11"/>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RMB</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RMB</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US$</w:t>
            </w:r>
          </w:p>
        </w:tc>
        <w:tc>
          <w:tcPr>
            <w:tcW w:w="0" w:type="dxa"/>
            <w:vAlign w:val="bottom"/>
          </w:tcPr>
          <w:p>
            <w:pPr>
              <w:spacing w:after="0"/>
              <w:rPr>
                <w:sz w:val="1"/>
                <w:szCs w:val="1"/>
                <w:color w:val="auto"/>
              </w:rPr>
            </w:pPr>
          </w:p>
        </w:tc>
      </w:tr>
      <w:tr>
        <w:trPr>
          <w:trHeight w:val="147"/>
        </w:trPr>
        <w:tc>
          <w:tcPr>
            <w:tcW w:w="63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Assets</w:t>
            </w: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4,122,659</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5,320,022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760,753</w:t>
            </w: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Short-term deposits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2,026,245</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3,112,207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445,040</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Restricted cash</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4,566,477</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120,612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17,247</w:t>
            </w: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Short-term investment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124,713</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17,834</w:t>
            </w:r>
          </w:p>
        </w:tc>
        <w:tc>
          <w:tcPr>
            <w:tcW w:w="0" w:type="dxa"/>
            <w:vAlign w:val="bottom"/>
          </w:tcPr>
          <w:p>
            <w:pPr>
              <w:spacing w:after="0"/>
              <w:rPr>
                <w:sz w:val="1"/>
                <w:szCs w:val="1"/>
                <w:color w:val="auto"/>
              </w:rPr>
            </w:pPr>
          </w:p>
        </w:tc>
      </w:tr>
      <w:tr>
        <w:trPr>
          <w:trHeight w:val="153"/>
        </w:trPr>
        <w:tc>
          <w:tcPr>
            <w:tcW w:w="6300" w:type="dxa"/>
            <w:vAlign w:val="bottom"/>
            <w:shd w:val="clear" w:color="auto" w:fill="CCEEFF"/>
          </w:tcPr>
          <w:p>
            <w:pPr>
              <w:ind w:left="280"/>
              <w:spacing w:after="0" w:line="153"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RMB12,433 and RMB18,623 as of</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December 31, 2024 and 2025, respectively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192,317</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246,208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35,207</w:t>
            </w: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Amounts due from related parties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21,751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3,110</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1,104,172</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791,317</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113,157</w:t>
            </w:r>
          </w:p>
        </w:tc>
        <w:tc>
          <w:tcPr>
            <w:tcW w:w="0" w:type="dxa"/>
            <w:vAlign w:val="bottom"/>
          </w:tcPr>
          <w:p>
            <w:pPr>
              <w:spacing w:after="0"/>
              <w:rPr>
                <w:sz w:val="1"/>
                <w:szCs w:val="1"/>
                <w:color w:val="auto"/>
              </w:rPr>
            </w:pPr>
          </w:p>
        </w:tc>
      </w:tr>
      <w:tr>
        <w:trPr>
          <w:trHeight w:val="168"/>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12,011,870</w:t>
            </w:r>
          </w:p>
        </w:tc>
        <w:tc>
          <w:tcPr>
            <w:tcW w:w="12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9,736,830</w:t>
            </w:r>
          </w:p>
        </w:tc>
        <w:tc>
          <w:tcPr>
            <w:tcW w:w="12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1,392,348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deposits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3,059,860</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Long-term restricted cash</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953,285</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Right-of-use assets,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252,169</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118,799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16,988</w:t>
            </w: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897,036</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1,420,030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203,062</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Intangible assets, net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86,661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240,716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34,422</w:t>
            </w: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Rental deposits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13,280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3,585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investments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825,533</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1,514,042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216,505</w:t>
            </w: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non-current assets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110,960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114,384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16,357</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tax assets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36,066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34,614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4,950</w:t>
            </w:r>
          </w:p>
        </w:tc>
        <w:tc>
          <w:tcPr>
            <w:tcW w:w="0" w:type="dxa"/>
            <w:vAlign w:val="bottom"/>
          </w:tcPr>
          <w:p>
            <w:pPr>
              <w:spacing w:after="0"/>
              <w:rPr>
                <w:sz w:val="1"/>
                <w:szCs w:val="1"/>
                <w:color w:val="auto"/>
              </w:rPr>
            </w:pPr>
          </w:p>
        </w:tc>
      </w:tr>
      <w:tr>
        <w:trPr>
          <w:trHeight w:val="168"/>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Goodwill</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136,250</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596,299</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18,382,970</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13,779,299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1,970,415</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Liabilities and equity</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3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615,254</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584,557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83,593</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427,702</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468,221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66,955</w:t>
            </w: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704,410</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848,679</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121,359</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Lease liabilities due within one year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141,971</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83,590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11,953</w:t>
            </w: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 payable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157,057</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44,787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6,404</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consideration in connection with business acquisitions-current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28,027</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47,839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6,841</w:t>
            </w: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Convertible Senior Notes-current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20,191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borrowings, current portion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1,938,385</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2,118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68"/>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Short-term borrowings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2,365,535</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6,398,532</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2,079,791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297,408</w:t>
            </w: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consideration in connection with business acquisitions-non current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65,694</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Lease liabilities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115,105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39,986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5,718</w:t>
            </w:r>
          </w:p>
        </w:tc>
        <w:tc>
          <w:tcPr>
            <w:tcW w:w="0" w:type="dxa"/>
            <w:vAlign w:val="bottom"/>
          </w:tcPr>
          <w:p>
            <w:pPr>
              <w:spacing w:after="0"/>
              <w:rPr>
                <w:sz w:val="1"/>
                <w:szCs w:val="1"/>
                <w:color w:val="auto"/>
              </w:rPr>
            </w:pPr>
          </w:p>
        </w:tc>
      </w:tr>
      <w:tr>
        <w:trPr>
          <w:trHeight w:val="167"/>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tax liabilities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241,915</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531,996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76,074</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borrowings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3,133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168"/>
        </w:trPr>
        <w:tc>
          <w:tcPr>
            <w:tcW w:w="6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129,051</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39,605</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6,950,297</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2,694,511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385,311</w:t>
            </w:r>
          </w:p>
        </w:tc>
        <w:tc>
          <w:tcPr>
            <w:tcW w:w="0" w:type="dxa"/>
            <w:vAlign w:val="bottom"/>
          </w:tcPr>
          <w:p>
            <w:pPr>
              <w:spacing w:after="0"/>
              <w:rPr>
                <w:sz w:val="1"/>
                <w:szCs w:val="1"/>
                <w:color w:val="auto"/>
              </w:rPr>
            </w:pPr>
          </w:p>
        </w:tc>
      </w:tr>
      <w:tr>
        <w:trPr>
          <w:trHeight w:val="168"/>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 (ii)</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11,432,673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11,084,788</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1,585,104</w:t>
            </w:r>
          </w:p>
        </w:tc>
        <w:tc>
          <w:tcPr>
            <w:tcW w:w="0" w:type="dxa"/>
            <w:vAlign w:val="bottom"/>
          </w:tcPr>
          <w:p>
            <w:pPr>
              <w:spacing w:after="0"/>
              <w:rPr>
                <w:sz w:val="1"/>
                <w:szCs w:val="1"/>
                <w:color w:val="auto"/>
              </w:rPr>
            </w:pPr>
          </w:p>
        </w:tc>
      </w:tr>
      <w:tr>
        <w:trPr>
          <w:trHeight w:val="16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18,382,970</w:t>
            </w:r>
          </w:p>
        </w:tc>
        <w:tc>
          <w:tcPr>
            <w:tcW w:w="120" w:type="dxa"/>
            <w:vAlign w:val="bottom"/>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13,779,299</w:t>
            </w:r>
          </w:p>
        </w:tc>
        <w:tc>
          <w:tcPr>
            <w:tcW w:w="120" w:type="dxa"/>
            <w:vAlign w:val="bottom"/>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1,970,415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auto"/>
        </w:rPr>
        <w:t>(ii):</w:t>
      </w:r>
      <w:r>
        <w:rPr>
          <w:sz w:val="20"/>
          <w:szCs w:val="20"/>
          <w:color w:val="auto"/>
        </w:rPr>
        <w:tab/>
      </w:r>
      <w:r>
        <w:rPr>
          <w:rFonts w:ascii="Times New Roman" w:cs="Times New Roman" w:eastAsia="Times New Roman" w:hAnsi="Times New Roman"/>
          <w:sz w:val="13"/>
          <w:szCs w:val="13"/>
          <w:color w:val="auto"/>
        </w:rPr>
        <w:t>As of December 31, 2025, the number of ordinary shares outstanding was 303,566,956.</w:t>
      </w:r>
    </w:p>
    <w:p>
      <w:pPr>
        <w:spacing w:after="0" w:line="1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8"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Hello Group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 amounts in thousands, except share and per share data)</w:t>
      </w:r>
    </w:p>
    <w:p>
      <w:pPr>
        <w:spacing w:after="0" w:line="166"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4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Three months</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Year</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4000" w:type="dxa"/>
            <w:vAlign w:val="bottom"/>
          </w:tcPr>
          <w:p>
            <w:pPr>
              <w:spacing w:after="0"/>
              <w:rPr>
                <w:sz w:val="11"/>
                <w:szCs w:val="11"/>
                <w:color w:val="auto"/>
              </w:rPr>
            </w:pPr>
          </w:p>
        </w:tc>
        <w:tc>
          <w:tcPr>
            <w:tcW w:w="15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1"/>
                <w:szCs w:val="11"/>
                <w:color w:val="auto"/>
              </w:rPr>
              <w:t>Ended December 31</w:t>
            </w: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Ended December 31</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88"/>
        </w:trPr>
        <w:tc>
          <w:tcPr>
            <w:tcW w:w="4000" w:type="dxa"/>
            <w:vAlign w:val="bottom"/>
          </w:tcPr>
          <w:p>
            <w:pPr>
              <w:spacing w:after="0"/>
              <w:rPr>
                <w:sz w:val="7"/>
                <w:szCs w:val="7"/>
                <w:color w:val="auto"/>
              </w:rPr>
            </w:pPr>
          </w:p>
        </w:tc>
        <w:tc>
          <w:tcPr>
            <w:tcW w:w="600" w:type="dxa"/>
            <w:vAlign w:val="bottom"/>
          </w:tcPr>
          <w:p>
            <w:pPr>
              <w:jc w:val="right"/>
              <w:ind w:right="131"/>
              <w:spacing w:after="0" w:line="89" w:lineRule="exact"/>
              <w:rPr>
                <w:sz w:val="20"/>
                <w:szCs w:val="20"/>
                <w:color w:val="auto"/>
              </w:rPr>
            </w:pPr>
            <w:r>
              <w:rPr>
                <w:rFonts w:ascii="Times New Roman" w:cs="Times New Roman" w:eastAsia="Times New Roman" w:hAnsi="Times New Roman"/>
                <w:sz w:val="10"/>
                <w:szCs w:val="10"/>
                <w:color w:val="auto"/>
              </w:rPr>
              <w:t>2024</w:t>
            </w:r>
          </w:p>
        </w:tc>
        <w:tc>
          <w:tcPr>
            <w:tcW w:w="80" w:type="dxa"/>
            <w:vAlign w:val="bottom"/>
          </w:tcPr>
          <w:p>
            <w:pPr>
              <w:spacing w:after="0"/>
              <w:rPr>
                <w:sz w:val="7"/>
                <w:szCs w:val="7"/>
                <w:color w:val="auto"/>
              </w:rPr>
            </w:pPr>
          </w:p>
        </w:tc>
        <w:tc>
          <w:tcPr>
            <w:tcW w:w="700" w:type="dxa"/>
            <w:vAlign w:val="bottom"/>
            <w:gridSpan w:val="2"/>
          </w:tcPr>
          <w:p>
            <w:pPr>
              <w:jc w:val="right"/>
              <w:ind w:right="131"/>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160" w:type="dxa"/>
            <w:vAlign w:val="bottom"/>
          </w:tcPr>
          <w:p>
            <w:pPr>
              <w:spacing w:after="0"/>
              <w:rPr>
                <w:sz w:val="7"/>
                <w:szCs w:val="7"/>
                <w:color w:val="auto"/>
              </w:rPr>
            </w:pPr>
          </w:p>
        </w:tc>
        <w:tc>
          <w:tcPr>
            <w:tcW w:w="500" w:type="dxa"/>
            <w:vAlign w:val="bottom"/>
          </w:tcPr>
          <w:p>
            <w:pPr>
              <w:jc w:val="right"/>
              <w:ind w:right="71"/>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180" w:type="dxa"/>
            <w:vAlign w:val="bottom"/>
          </w:tcPr>
          <w:p>
            <w:pPr>
              <w:spacing w:after="0"/>
              <w:rPr>
                <w:sz w:val="7"/>
                <w:szCs w:val="7"/>
                <w:color w:val="auto"/>
              </w:rPr>
            </w:pPr>
          </w:p>
        </w:tc>
        <w:tc>
          <w:tcPr>
            <w:tcW w:w="640" w:type="dxa"/>
            <w:vAlign w:val="bottom"/>
          </w:tcPr>
          <w:p>
            <w:pPr>
              <w:jc w:val="right"/>
              <w:ind w:right="151"/>
              <w:spacing w:after="0" w:line="89" w:lineRule="exact"/>
              <w:rPr>
                <w:sz w:val="20"/>
                <w:szCs w:val="20"/>
                <w:color w:val="auto"/>
              </w:rPr>
            </w:pPr>
            <w:r>
              <w:rPr>
                <w:rFonts w:ascii="Times New Roman" w:cs="Times New Roman" w:eastAsia="Times New Roman" w:hAnsi="Times New Roman"/>
                <w:sz w:val="10"/>
                <w:szCs w:val="10"/>
                <w:color w:val="auto"/>
              </w:rPr>
              <w:t>2024</w:t>
            </w:r>
          </w:p>
        </w:tc>
        <w:tc>
          <w:tcPr>
            <w:tcW w:w="160" w:type="dxa"/>
            <w:vAlign w:val="bottom"/>
          </w:tcPr>
          <w:p>
            <w:pPr>
              <w:spacing w:after="0"/>
              <w:rPr>
                <w:sz w:val="7"/>
                <w:szCs w:val="7"/>
                <w:color w:val="auto"/>
              </w:rPr>
            </w:pPr>
          </w:p>
        </w:tc>
        <w:tc>
          <w:tcPr>
            <w:tcW w:w="660" w:type="dxa"/>
            <w:vAlign w:val="bottom"/>
          </w:tcPr>
          <w:p>
            <w:pPr>
              <w:ind w:left="220"/>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160" w:type="dxa"/>
            <w:vAlign w:val="bottom"/>
          </w:tcPr>
          <w:p>
            <w:pPr>
              <w:spacing w:after="0"/>
              <w:rPr>
                <w:sz w:val="7"/>
                <w:szCs w:val="7"/>
                <w:color w:val="auto"/>
              </w:rPr>
            </w:pPr>
          </w:p>
        </w:tc>
        <w:tc>
          <w:tcPr>
            <w:tcW w:w="600" w:type="dxa"/>
            <w:vAlign w:val="bottom"/>
          </w:tcPr>
          <w:p>
            <w:pPr>
              <w:jc w:val="right"/>
              <w:ind w:right="111"/>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100" w:type="dxa"/>
            <w:vAlign w:val="bottom"/>
          </w:tcPr>
          <w:p>
            <w:pPr>
              <w:spacing w:after="0"/>
              <w:rPr>
                <w:sz w:val="7"/>
                <w:szCs w:val="7"/>
                <w:color w:val="auto"/>
              </w:rPr>
            </w:pPr>
          </w:p>
        </w:tc>
      </w:tr>
      <w:tr>
        <w:trPr>
          <w:trHeight w:val="132"/>
        </w:trPr>
        <w:tc>
          <w:tcPr>
            <w:tcW w:w="400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RMB</w:t>
            </w:r>
          </w:p>
        </w:tc>
        <w:tc>
          <w:tcPr>
            <w:tcW w:w="80" w:type="dxa"/>
            <w:vAlign w:val="bottom"/>
          </w:tcPr>
          <w:p>
            <w:pPr>
              <w:spacing w:after="0"/>
              <w:rPr>
                <w:sz w:val="11"/>
                <w:szCs w:val="11"/>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RMB</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US$</w:t>
            </w:r>
          </w:p>
        </w:tc>
        <w:tc>
          <w:tcPr>
            <w:tcW w:w="800" w:type="dxa"/>
            <w:vAlign w:val="bottom"/>
            <w:gridSpan w:val="2"/>
          </w:tcPr>
          <w:p>
            <w:pPr>
              <w:jc w:val="right"/>
              <w:ind w:right="304"/>
              <w:spacing w:after="0"/>
              <w:rPr>
                <w:sz w:val="20"/>
                <w:szCs w:val="20"/>
                <w:color w:val="auto"/>
              </w:rPr>
            </w:pPr>
            <w:r>
              <w:rPr>
                <w:rFonts w:ascii="Times New Roman" w:cs="Times New Roman" w:eastAsia="Times New Roman" w:hAnsi="Times New Roman"/>
                <w:sz w:val="11"/>
                <w:szCs w:val="11"/>
                <w:color w:val="auto"/>
              </w:rPr>
              <w:t>RMB</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RMB</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US$</w:t>
            </w:r>
          </w:p>
        </w:tc>
      </w:tr>
      <w:tr>
        <w:trPr>
          <w:trHeight w:val="147"/>
        </w:trPr>
        <w:tc>
          <w:tcPr>
            <w:tcW w:w="40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7"/>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187,235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237,834</w:t>
            </w:r>
          </w:p>
        </w:tc>
        <w:tc>
          <w:tcPr>
            <w:tcW w:w="1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34,011</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1,039,573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806,525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115,333</w:t>
            </w:r>
          </w:p>
        </w:tc>
      </w:tr>
      <w:tr>
        <w:trPr>
          <w:trHeight w:val="153"/>
        </w:trPr>
        <w:tc>
          <w:tcPr>
            <w:tcW w:w="4000" w:type="dxa"/>
            <w:vAlign w:val="bottom"/>
            <w:shd w:val="clear" w:color="auto" w:fill="CCEEFF"/>
          </w:tcPr>
          <w:p>
            <w:pPr>
              <w:ind w:left="280"/>
              <w:spacing w:after="0" w:line="153"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4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operating activities:</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4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Depreciation of property and equipment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11,868</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9,563</w:t>
            </w:r>
          </w:p>
        </w:tc>
        <w:tc>
          <w:tcPr>
            <w:tcW w:w="1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1,367</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52,847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43,040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6,155</w:t>
            </w:r>
          </w:p>
        </w:tc>
      </w:tr>
      <w:tr>
        <w:trPr>
          <w:trHeight w:val="167"/>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2,049</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14,853</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2,124</w:t>
            </w:r>
          </w:p>
        </w:tc>
        <w:tc>
          <w:tcPr>
            <w:tcW w:w="8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5,886</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38,775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5,545</w:t>
            </w:r>
          </w:p>
        </w:tc>
      </w:tr>
      <w:tr>
        <w:trPr>
          <w:trHeight w:val="167"/>
        </w:trPr>
        <w:tc>
          <w:tcPr>
            <w:tcW w:w="4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Share-based compensation</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42,493</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33,434</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4,781</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192,572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162,745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23,273</w:t>
            </w:r>
          </w:p>
        </w:tc>
      </w:tr>
      <w:tr>
        <w:trPr>
          <w:trHeight w:val="167"/>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Share of loss (income) on equity method investments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514</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62,458</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8,931</w:t>
            </w:r>
          </w:p>
        </w:tc>
        <w:tc>
          <w:tcPr>
            <w:tcW w:w="8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(59,216)</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12,879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1,842</w:t>
            </w:r>
          </w:p>
        </w:tc>
      </w:tr>
      <w:tr>
        <w:trPr>
          <w:trHeight w:val="153"/>
        </w:trPr>
        <w:tc>
          <w:tcPr>
            <w:tcW w:w="4000" w:type="dxa"/>
            <w:vAlign w:val="bottom"/>
          </w:tcPr>
          <w:p>
            <w:pPr>
              <w:ind w:left="560"/>
              <w:spacing w:after="0" w:line="153" w:lineRule="exact"/>
              <w:rPr>
                <w:sz w:val="20"/>
                <w:szCs w:val="20"/>
                <w:color w:val="auto"/>
              </w:rPr>
            </w:pPr>
            <w:r>
              <w:rPr>
                <w:rFonts w:ascii="Times New Roman" w:cs="Times New Roman" w:eastAsia="Times New Roman" w:hAnsi="Times New Roman"/>
                <w:sz w:val="14"/>
                <w:szCs w:val="14"/>
                <w:color w:val="auto"/>
              </w:rPr>
              <w:t>Gain or loss on fair value changes of short-term</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40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investments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(3,902)</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(558)</w:t>
            </w:r>
          </w:p>
        </w:tc>
        <w:tc>
          <w:tcPr>
            <w:tcW w:w="80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(5,722)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(819)</w:t>
            </w:r>
          </w:p>
        </w:tc>
      </w:tr>
      <w:tr>
        <w:trPr>
          <w:trHeight w:val="167"/>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Returns on investments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730</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1,927</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797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114</w:t>
            </w:r>
          </w:p>
        </w:tc>
      </w:tr>
      <w:tr>
        <w:trPr>
          <w:trHeight w:val="167"/>
        </w:trPr>
        <w:tc>
          <w:tcPr>
            <w:tcW w:w="4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Loss on long-term investments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46,639</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90,509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r>
      <w:tr>
        <w:trPr>
          <w:trHeight w:val="167"/>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Gain or loss on disposal of property and equipment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(126)</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w:t>
            </w:r>
          </w:p>
        </w:tc>
        <w:tc>
          <w:tcPr>
            <w:tcW w:w="8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(62)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(465)</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(66)</w:t>
            </w:r>
          </w:p>
        </w:tc>
      </w:tr>
      <w:tr>
        <w:trPr>
          <w:trHeight w:val="167"/>
        </w:trPr>
        <w:tc>
          <w:tcPr>
            <w:tcW w:w="4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Provision of (income) loss on receivable and other assets</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144</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3,618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6,893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986</w:t>
            </w:r>
          </w:p>
        </w:tc>
      </w:tr>
      <w:tr>
        <w:trPr>
          <w:trHeight w:val="167"/>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4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(4,347)</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(380)</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7,605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(24,031)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(3,436)</w:t>
            </w:r>
          </w:p>
        </w:tc>
      </w:tr>
      <w:tr>
        <w:trPr>
          <w:trHeight w:val="167"/>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27,035</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43,467</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6,216</w:t>
            </w:r>
          </w:p>
        </w:tc>
        <w:tc>
          <w:tcPr>
            <w:tcW w:w="8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(64,811)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110,876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15,855</w:t>
            </w:r>
          </w:p>
        </w:tc>
      </w:tr>
      <w:tr>
        <w:trPr>
          <w:trHeight w:val="167"/>
        </w:trPr>
        <w:tc>
          <w:tcPr>
            <w:tcW w:w="4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Amounts due from related parties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(291)</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w:t>
            </w:r>
          </w:p>
        </w:tc>
        <w:tc>
          <w:tcPr>
            <w:tcW w:w="80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w:t>
            </w:r>
          </w:p>
        </w:tc>
      </w:tr>
      <w:tr>
        <w:trPr>
          <w:trHeight w:val="167"/>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Rental deposits</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213</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w:t>
            </w:r>
          </w:p>
        </w:tc>
        <w:tc>
          <w:tcPr>
            <w:tcW w:w="8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(309)</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11,375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1,627</w:t>
            </w:r>
          </w:p>
        </w:tc>
      </w:tr>
      <w:tr>
        <w:trPr>
          <w:trHeight w:val="167"/>
        </w:trPr>
        <w:tc>
          <w:tcPr>
            <w:tcW w:w="4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tax assets</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(892)</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(128)</w:t>
            </w:r>
          </w:p>
        </w:tc>
        <w:tc>
          <w:tcPr>
            <w:tcW w:w="8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(4,323)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1,369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196</w:t>
            </w:r>
          </w:p>
        </w:tc>
      </w:tr>
      <w:tr>
        <w:trPr>
          <w:trHeight w:val="167"/>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 non-current assets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101,561</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37,285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5,332</w:t>
            </w:r>
          </w:p>
        </w:tc>
        <w:tc>
          <w:tcPr>
            <w:tcW w:w="8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(81,837)</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150,978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21,590</w:t>
            </w:r>
          </w:p>
        </w:tc>
      </w:tr>
      <w:tr>
        <w:trPr>
          <w:trHeight w:val="167"/>
        </w:trPr>
        <w:tc>
          <w:tcPr>
            <w:tcW w:w="4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8,139</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33,181</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4,745</w:t>
            </w:r>
          </w:p>
        </w:tc>
        <w:tc>
          <w:tcPr>
            <w:tcW w:w="8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(7,571)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(37,788)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(5,404)</w:t>
            </w:r>
          </w:p>
        </w:tc>
      </w:tr>
      <w:tr>
        <w:trPr>
          <w:trHeight w:val="167"/>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Income tax payable</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63,625</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25,373</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3,628</w:t>
            </w:r>
          </w:p>
        </w:tc>
        <w:tc>
          <w:tcPr>
            <w:tcW w:w="8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62,337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(112,568)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(16,097)</w:t>
            </w:r>
          </w:p>
        </w:tc>
      </w:tr>
      <w:tr>
        <w:trPr>
          <w:trHeight w:val="167"/>
        </w:trPr>
        <w:tc>
          <w:tcPr>
            <w:tcW w:w="4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(26,219)</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(3,565)</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(510)</w:t>
            </w:r>
          </w:p>
        </w:tc>
        <w:tc>
          <w:tcPr>
            <w:tcW w:w="8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(25,651)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17,452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2,496</w:t>
            </w:r>
          </w:p>
        </w:tc>
      </w:tr>
      <w:tr>
        <w:trPr>
          <w:trHeight w:val="167"/>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78,250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66,599</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9,524</w:t>
            </w:r>
          </w:p>
        </w:tc>
        <w:tc>
          <w:tcPr>
            <w:tcW w:w="8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139,607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(136,112)</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(19,464)</w:t>
            </w:r>
          </w:p>
        </w:tc>
      </w:tr>
      <w:tr>
        <w:trPr>
          <w:trHeight w:val="167"/>
        </w:trPr>
        <w:tc>
          <w:tcPr>
            <w:tcW w:w="4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tax liabilities</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(81,498)</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21,325</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3,049</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212,835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235,554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33,684</w:t>
            </w:r>
          </w:p>
        </w:tc>
      </w:tr>
      <w:tr>
        <w:trPr>
          <w:trHeight w:val="167"/>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(34,247)</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(27,725)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(3,965)</w:t>
            </w:r>
          </w:p>
        </w:tc>
        <w:tc>
          <w:tcPr>
            <w:tcW w:w="8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74,458</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(99,212)</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(14,187)</w:t>
            </w:r>
          </w:p>
        </w:tc>
      </w:tr>
      <w:tr>
        <w:trPr>
          <w:trHeight w:val="168"/>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423,642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549,712</w:t>
            </w:r>
          </w:p>
        </w:tc>
        <w:tc>
          <w:tcPr>
            <w:tcW w:w="16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78,607</w:t>
            </w:r>
          </w:p>
        </w:tc>
        <w:tc>
          <w:tcPr>
            <w:tcW w:w="1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1,639,994</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1,183,109</w:t>
            </w:r>
          </w:p>
        </w:tc>
        <w:tc>
          <w:tcPr>
            <w:tcW w:w="16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169,187</w:t>
            </w:r>
          </w:p>
        </w:tc>
        <w:tc>
          <w:tcPr>
            <w:tcW w:w="100" w:type="dxa"/>
            <w:vAlign w:val="bottom"/>
          </w:tcPr>
          <w:p>
            <w:pPr>
              <w:spacing w:after="0"/>
              <w:rPr>
                <w:sz w:val="14"/>
                <w:szCs w:val="14"/>
                <w:color w:val="auto"/>
              </w:rPr>
            </w:pPr>
          </w:p>
        </w:tc>
      </w:tr>
      <w:tr>
        <w:trPr>
          <w:trHeight w:val="16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(21,727)</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(320,178)</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(45,785)</w:t>
            </w:r>
          </w:p>
        </w:tc>
        <w:tc>
          <w:tcPr>
            <w:tcW w:w="8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(285,541)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(492,517)</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(70,429)</w:t>
            </w:r>
          </w:p>
        </w:tc>
      </w:tr>
      <w:tr>
        <w:trPr>
          <w:trHeight w:val="167"/>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 for long-term investments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(35,959)</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(39,969)</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(5,715)</w:t>
            </w:r>
          </w:p>
        </w:tc>
        <w:tc>
          <w:tcPr>
            <w:tcW w:w="8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(69,209)</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(482,259)</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(68,962)</w:t>
            </w:r>
          </w:p>
        </w:tc>
      </w:tr>
      <w:tr>
        <w:trPr>
          <w:trHeight w:val="167"/>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 for business acquisition</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(136,642)</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(27,109)</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(3,877)</w:t>
            </w:r>
          </w:p>
        </w:tc>
        <w:tc>
          <w:tcPr>
            <w:tcW w:w="8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(136,642)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(633,877)</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(90,643)</w:t>
            </w:r>
          </w:p>
        </w:tc>
      </w:tr>
      <w:tr>
        <w:trPr>
          <w:trHeight w:val="167"/>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 of term deposits</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(46,993)</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(6,720)</w:t>
            </w:r>
          </w:p>
        </w:tc>
        <w:tc>
          <w:tcPr>
            <w:tcW w:w="8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(2,851,946)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(2,592,723)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(370,754)</w:t>
            </w:r>
          </w:p>
        </w:tc>
      </w:tr>
      <w:tr>
        <w:trPr>
          <w:trHeight w:val="167"/>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received on maturity of term deposits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1,247,165</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1,443,669</w:t>
            </w:r>
          </w:p>
        </w:tc>
        <w:tc>
          <w:tcPr>
            <w:tcW w:w="1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206,442</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3,047,041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4,536,981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648,780</w:t>
            </w:r>
          </w:p>
        </w:tc>
      </w:tr>
      <w:tr>
        <w:trPr>
          <w:trHeight w:val="167"/>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 for short-term investments</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(104,382)</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(14,926)</w:t>
            </w:r>
          </w:p>
        </w:tc>
        <w:tc>
          <w:tcPr>
            <w:tcW w:w="8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(122,396)</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(17,502)</w:t>
            </w:r>
          </w:p>
        </w:tc>
      </w:tr>
      <w:tr>
        <w:trPr>
          <w:trHeight w:val="167"/>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received from sales of long-term investment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2,000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Returns of investments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120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1,145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w:t>
            </w:r>
          </w:p>
        </w:tc>
      </w:tr>
      <w:tr>
        <w:trPr>
          <w:trHeight w:val="167"/>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Loan to a third-party company</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(168,933)</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(3,521)</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(503)</w:t>
            </w:r>
          </w:p>
        </w:tc>
        <w:tc>
          <w:tcPr>
            <w:tcW w:w="8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(265,613)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(47,735)</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(6,826)</w:t>
            </w:r>
          </w:p>
        </w:tc>
      </w:tr>
      <w:tr>
        <w:trPr>
          <w:trHeight w:val="167"/>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 to a related party</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(3,000)</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(429)</w:t>
            </w:r>
          </w:p>
        </w:tc>
        <w:tc>
          <w:tcPr>
            <w:tcW w:w="8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(3,000)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(429)</w:t>
            </w:r>
          </w:p>
        </w:tc>
      </w:tr>
      <w:tr>
        <w:trPr>
          <w:trHeight w:val="167"/>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903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851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w:t>
            </w:r>
          </w:p>
        </w:tc>
      </w:tr>
      <w:tr>
        <w:trPr>
          <w:trHeight w:val="21"/>
        </w:trPr>
        <w:tc>
          <w:tcPr>
            <w:tcW w:w="4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884,032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898,713</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128,515</w:t>
            </w:r>
          </w:p>
        </w:tc>
        <w:tc>
          <w:tcPr>
            <w:tcW w:w="8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(558,887)</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164,470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23,521</w:t>
            </w:r>
          </w:p>
        </w:tc>
      </w:tr>
      <w:tr>
        <w:trPr>
          <w:trHeight w:val="167"/>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exercise of share options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r>
      <w:tr>
        <w:trPr>
          <w:trHeight w:val="167"/>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 of ordinary shares</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(425,176)</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(304,098)</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(43,485)</w:t>
            </w:r>
          </w:p>
        </w:tc>
        <w:tc>
          <w:tcPr>
            <w:tcW w:w="8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(1,197,439)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(749,983)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(107,246)</w:t>
            </w:r>
          </w:p>
        </w:tc>
      </w:tr>
      <w:tr>
        <w:trPr>
          <w:trHeight w:val="167"/>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payment for business acquisition</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(17,132)</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(2,450)</w:t>
            </w:r>
          </w:p>
        </w:tc>
      </w:tr>
      <w:tr>
        <w:trPr>
          <w:trHeight w:val="167"/>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Dividends payment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(716,302)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(346,182)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(49,503)</w:t>
            </w:r>
          </w:p>
        </w:tc>
      </w:tr>
      <w:tr>
        <w:trPr>
          <w:trHeight w:val="167"/>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 in relation to redemption of convertible bonds</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(20,221)</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(2,892)</w:t>
            </w:r>
          </w:p>
        </w:tc>
      </w:tr>
      <w:tr>
        <w:trPr>
          <w:trHeight w:val="167"/>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short-term borrowings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2,365,535</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Repayment of short-term borrowings</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(2,365,535)</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(338,267)</w:t>
            </w:r>
          </w:p>
        </w:tc>
      </w:tr>
      <w:tr>
        <w:trPr>
          <w:trHeight w:val="167"/>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 of long-term borrowings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(586)</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(84)</w:t>
            </w:r>
          </w:p>
        </w:tc>
        <w:tc>
          <w:tcPr>
            <w:tcW w:w="8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(215,615)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(1,940,122)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(277,434)</w:t>
            </w:r>
          </w:p>
        </w:tc>
      </w:tr>
      <w:tr>
        <w:trPr>
          <w:trHeight w:val="21"/>
        </w:trPr>
        <w:tc>
          <w:tcPr>
            <w:tcW w:w="4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(425,175)</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(304,684)</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(43,569)</w:t>
            </w:r>
          </w:p>
        </w:tc>
        <w:tc>
          <w:tcPr>
            <w:tcW w:w="8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236,197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(5,439,170)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(777,791)</w:t>
            </w:r>
          </w:p>
        </w:tc>
      </w:tr>
      <w:tr>
        <w:trPr>
          <w:trHeight w:val="167"/>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172,439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(19,585)</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(2,801)</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42,205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(110,196)</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(15,765)</w:t>
            </w:r>
          </w:p>
        </w:tc>
      </w:tr>
      <w:tr>
        <w:trPr>
          <w:trHeight w:val="21"/>
        </w:trPr>
        <w:tc>
          <w:tcPr>
            <w:tcW w:w="4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1,054,938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1,124,156</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160,752</w:t>
            </w:r>
          </w:p>
        </w:tc>
        <w:tc>
          <w:tcPr>
            <w:tcW w:w="8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1,359,509</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(4,201,787)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(600,848)</w:t>
            </w:r>
          </w:p>
        </w:tc>
      </w:tr>
      <w:tr>
        <w:trPr>
          <w:trHeight w:val="167"/>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period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8,587,483</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4,316,478</w:t>
            </w:r>
          </w:p>
        </w:tc>
        <w:tc>
          <w:tcPr>
            <w:tcW w:w="1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617,248</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8,282,912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9,642,421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1,378,848</w:t>
            </w:r>
          </w:p>
        </w:tc>
      </w:tr>
      <w:tr>
        <w:trPr>
          <w:trHeight w:val="16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the end of period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9,642,421</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5,440,634</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778,000</w:t>
            </w:r>
          </w:p>
        </w:tc>
        <w:tc>
          <w:tcPr>
            <w:tcW w:w="8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9,642,421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5,440,634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778,000</w:t>
            </w:r>
          </w:p>
        </w:tc>
      </w:tr>
      <w:tr>
        <w:trPr>
          <w:trHeight w:val="283"/>
        </w:trPr>
        <w:tc>
          <w:tcPr>
            <w:tcW w:w="4000" w:type="dxa"/>
            <w:vAlign w:val="bottom"/>
          </w:tcPr>
          <w:p>
            <w:pPr>
              <w:spacing w:after="0"/>
              <w:rPr>
                <w:sz w:val="24"/>
                <w:szCs w:val="24"/>
                <w:color w:val="auto"/>
              </w:rPr>
            </w:pP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9019"/>
          </w:cols>
          <w:pgMar w:left="1440" w:top="238" w:right="1440" w:bottom="1440" w:gutter="0" w:footer="0" w:header="0"/>
        </w:sectPr>
      </w:pPr>
    </w:p>
    <w:bookmarkStart w:id="13" w:name="page14"/>
    <w:bookmarkEnd w:id="13"/>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Hello Group Inc.</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to comparable GAAP measures</w:t>
      </w:r>
    </w:p>
    <w:p>
      <w:pPr>
        <w:spacing w:after="0" w:line="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(All amounts in thousands, except per share data)</w:t>
      </w:r>
    </w:p>
    <w:p>
      <w:pPr>
        <w:spacing w:after="0" w:line="180" w:lineRule="exact"/>
        <w:rPr>
          <w:sz w:val="20"/>
          <w:szCs w:val="20"/>
          <w:color w:val="auto"/>
        </w:rPr>
      </w:pPr>
    </w:p>
    <w:p>
      <w:pPr>
        <w:ind w:left="560" w:hanging="325"/>
        <w:spacing w:after="0"/>
        <w:tabs>
          <w:tab w:leader="none" w:pos="5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 of Non-GAAP cost and operating expenses, income from operations, and net income (loss) to comparable GAAP measures.</w:t>
      </w:r>
    </w:p>
    <w:p>
      <w:pPr>
        <w:spacing w:after="0" w:line="181"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color w:val="auto"/>
              </w:rPr>
              <w:t>Three months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Three months</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4"/>
          </w:tcPr>
          <w:p>
            <w:pPr>
              <w:jc w:val="right"/>
              <w:ind w:right="340"/>
              <w:spacing w:after="0"/>
              <w:rPr>
                <w:sz w:val="20"/>
                <w:szCs w:val="20"/>
                <w:color w:val="auto"/>
              </w:rPr>
            </w:pPr>
            <w:r>
              <w:rPr>
                <w:rFonts w:ascii="Times New Roman" w:cs="Times New Roman" w:eastAsia="Times New Roman" w:hAnsi="Times New Roman"/>
                <w:sz w:val="11"/>
                <w:szCs w:val="11"/>
                <w:color w:val="auto"/>
              </w:rPr>
              <w:t>Three months</w:t>
            </w: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1"/>
                <w:szCs w:val="11"/>
                <w:color w:val="auto"/>
              </w:rPr>
              <w:t>Ended December 31, 2024</w:t>
            </w: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7"/>
          </w:tcPr>
          <w:p>
            <w:pPr>
              <w:ind w:left="400"/>
              <w:spacing w:after="0"/>
              <w:rPr>
                <w:sz w:val="20"/>
                <w:szCs w:val="20"/>
                <w:color w:val="auto"/>
              </w:rPr>
            </w:pPr>
            <w:r>
              <w:rPr>
                <w:rFonts w:ascii="Times New Roman" w:cs="Times New Roman" w:eastAsia="Times New Roman" w:hAnsi="Times New Roman"/>
                <w:sz w:val="11"/>
                <w:szCs w:val="11"/>
                <w:color w:val="auto"/>
              </w:rPr>
              <w:t>Ended December 31, 2025</w:t>
            </w: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1"/>
                <w:szCs w:val="11"/>
                <w:color w:val="auto"/>
              </w:rPr>
              <w:t>Ended December 31, 2025</w:t>
            </w:r>
          </w:p>
        </w:tc>
        <w:tc>
          <w:tcPr>
            <w:tcW w:w="0" w:type="dxa"/>
            <w:vAlign w:val="bottom"/>
          </w:tcPr>
          <w:p>
            <w:pPr>
              <w:spacing w:after="0"/>
              <w:rPr>
                <w:sz w:val="1"/>
                <w:szCs w:val="1"/>
                <w:color w:val="auto"/>
              </w:rPr>
            </w:pPr>
          </w:p>
        </w:tc>
      </w:tr>
      <w:tr>
        <w:trPr>
          <w:trHeight w:val="88"/>
        </w:trPr>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tcPr>
          <w:p>
            <w:pPr>
              <w:jc w:val="center"/>
              <w:ind w:right="120"/>
              <w:spacing w:after="0" w:line="89" w:lineRule="exact"/>
              <w:rPr>
                <w:sz w:val="20"/>
                <w:szCs w:val="20"/>
                <w:color w:val="auto"/>
              </w:rPr>
            </w:pPr>
            <w:r>
              <w:rPr>
                <w:rFonts w:ascii="Times New Roman" w:cs="Times New Roman" w:eastAsia="Times New Roman" w:hAnsi="Times New Roman"/>
                <w:sz w:val="10"/>
                <w:szCs w:val="10"/>
                <w:color w:val="auto"/>
              </w:rPr>
              <w:t>Amortization</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center"/>
              <w:ind w:right="40"/>
              <w:spacing w:after="0" w:line="89" w:lineRule="exact"/>
              <w:rPr>
                <w:sz w:val="20"/>
                <w:szCs w:val="20"/>
                <w:color w:val="auto"/>
              </w:rPr>
            </w:pPr>
            <w:r>
              <w:rPr>
                <w:rFonts w:ascii="Times New Roman" w:cs="Times New Roman" w:eastAsia="Times New Roman" w:hAnsi="Times New Roman"/>
                <w:sz w:val="10"/>
                <w:szCs w:val="10"/>
                <w:color w:val="auto"/>
              </w:rPr>
              <w:t>Amortization</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tcPr>
          <w:p>
            <w:pPr>
              <w:jc w:val="center"/>
              <w:ind w:right="40"/>
              <w:spacing w:after="0" w:line="89" w:lineRule="exact"/>
              <w:rPr>
                <w:sz w:val="20"/>
                <w:szCs w:val="20"/>
                <w:color w:val="auto"/>
              </w:rPr>
            </w:pPr>
            <w:r>
              <w:rPr>
                <w:rFonts w:ascii="Times New Roman" w:cs="Times New Roman" w:eastAsia="Times New Roman" w:hAnsi="Times New Roman"/>
                <w:sz w:val="10"/>
                <w:szCs w:val="10"/>
                <w:color w:val="auto"/>
              </w:rPr>
              <w:t>Amortization</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rPr>
              <w:t>of intangible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color w:val="auto"/>
              </w:rPr>
              <w:t>of intangible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color w:val="auto"/>
              </w:rPr>
              <w:t>of intangible</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rPr>
              <w:t>assets from</w:t>
            </w: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color w:val="auto"/>
              </w:rPr>
              <w:t>Share-based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20"/>
              <w:spacing w:after="0" w:line="115" w:lineRule="exact"/>
              <w:rPr>
                <w:sz w:val="20"/>
                <w:szCs w:val="20"/>
                <w:color w:val="auto"/>
              </w:rPr>
            </w:pPr>
            <w:r>
              <w:rPr>
                <w:rFonts w:ascii="Times New Roman" w:cs="Times New Roman" w:eastAsia="Times New Roman" w:hAnsi="Times New Roman"/>
                <w:sz w:val="11"/>
                <w:szCs w:val="11"/>
                <w:color w:val="auto"/>
              </w:rPr>
              <w:t>assets from</w:t>
            </w:r>
          </w:p>
        </w:tc>
        <w:tc>
          <w:tcPr>
            <w:tcW w:w="80" w:type="dxa"/>
            <w:vAlign w:val="bottom"/>
          </w:tcPr>
          <w:p>
            <w:pPr>
              <w:spacing w:after="0"/>
              <w:rPr>
                <w:sz w:val="10"/>
                <w:szCs w:val="10"/>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color w:val="auto"/>
              </w:rPr>
              <w:t>Share-based</w:t>
            </w: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color w:val="auto"/>
                <w:w w:val="93"/>
              </w:rPr>
              <w:t>Tax</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color w:val="auto"/>
              </w:rPr>
              <w:t>assets from</w:t>
            </w:r>
          </w:p>
        </w:tc>
        <w:tc>
          <w:tcPr>
            <w:tcW w:w="60" w:type="dxa"/>
            <w:vAlign w:val="bottom"/>
          </w:tcPr>
          <w:p>
            <w:pPr>
              <w:spacing w:after="0"/>
              <w:rPr>
                <w:sz w:val="10"/>
                <w:szCs w:val="10"/>
                <w:color w:val="auto"/>
              </w:rPr>
            </w:pPr>
          </w:p>
        </w:tc>
        <w:tc>
          <w:tcPr>
            <w:tcW w:w="9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1"/>
                <w:szCs w:val="11"/>
                <w:color w:val="auto"/>
              </w:rPr>
              <w:t>Share-based</w:t>
            </w: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auto"/>
              </w:rPr>
              <w:t>GAAP</w:t>
            </w:r>
          </w:p>
        </w:tc>
        <w:tc>
          <w:tcPr>
            <w:tcW w:w="7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color w:val="auto"/>
              </w:rPr>
              <w:t>business</w:t>
            </w:r>
          </w:p>
        </w:tc>
        <w:tc>
          <w:tcPr>
            <w:tcW w:w="740" w:type="dxa"/>
            <w:vAlign w:val="bottom"/>
            <w:gridSpan w:val="2"/>
            <w:vMerge w:val="continue"/>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Non-GAAP</w:t>
            </w: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auto"/>
              </w:rPr>
              <w:t>GAAP</w:t>
            </w:r>
          </w:p>
        </w:tc>
        <w:tc>
          <w:tcPr>
            <w:tcW w:w="640" w:type="dxa"/>
            <w:vAlign w:val="bottom"/>
            <w:gridSpan w:val="2"/>
          </w:tcPr>
          <w:p>
            <w:pPr>
              <w:jc w:val="center"/>
              <w:ind w:right="20"/>
              <w:spacing w:after="0" w:line="115" w:lineRule="exact"/>
              <w:rPr>
                <w:sz w:val="20"/>
                <w:szCs w:val="20"/>
                <w:color w:val="auto"/>
              </w:rPr>
            </w:pPr>
            <w:r>
              <w:rPr>
                <w:rFonts w:ascii="Times New Roman" w:cs="Times New Roman" w:eastAsia="Times New Roman" w:hAnsi="Times New Roman"/>
                <w:sz w:val="11"/>
                <w:szCs w:val="11"/>
                <w:color w:val="auto"/>
              </w:rPr>
              <w:t>business</w:t>
            </w: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Non-GAAP</w:t>
            </w: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GAAP</w:t>
            </w:r>
          </w:p>
        </w:tc>
        <w:tc>
          <w:tcPr>
            <w:tcW w:w="64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color w:val="auto"/>
              </w:rPr>
              <w:t>business</w:t>
            </w:r>
          </w:p>
        </w:tc>
        <w:tc>
          <w:tcPr>
            <w:tcW w:w="6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w w:val="98"/>
              </w:rPr>
              <w:t>acquisitions</w:t>
            </w:r>
          </w:p>
        </w:tc>
        <w:tc>
          <w:tcPr>
            <w:tcW w:w="74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rPr>
              <w:t>compensation</w:t>
            </w:r>
          </w:p>
        </w:tc>
        <w:tc>
          <w:tcPr>
            <w:tcW w:w="7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40" w:type="dxa"/>
            <w:vAlign w:val="bottom"/>
            <w:gridSpan w:val="2"/>
          </w:tcPr>
          <w:p>
            <w:pPr>
              <w:jc w:val="center"/>
              <w:ind w:right="20"/>
              <w:spacing w:after="0" w:line="115" w:lineRule="exact"/>
              <w:rPr>
                <w:sz w:val="20"/>
                <w:szCs w:val="20"/>
                <w:color w:val="auto"/>
              </w:rPr>
            </w:pPr>
            <w:r>
              <w:rPr>
                <w:rFonts w:ascii="Times New Roman" w:cs="Times New Roman" w:eastAsia="Times New Roman" w:hAnsi="Times New Roman"/>
                <w:sz w:val="11"/>
                <w:szCs w:val="11"/>
                <w:color w:val="auto"/>
              </w:rPr>
              <w:t>acquisitions</w:t>
            </w:r>
          </w:p>
        </w:tc>
        <w:tc>
          <w:tcPr>
            <w:tcW w:w="80" w:type="dxa"/>
            <w:vAlign w:val="bottom"/>
          </w:tcPr>
          <w:p>
            <w:pPr>
              <w:spacing w:after="0"/>
              <w:rPr>
                <w:sz w:val="10"/>
                <w:szCs w:val="10"/>
                <w:color w:val="auto"/>
              </w:rPr>
            </w:pPr>
          </w:p>
        </w:tc>
        <w:tc>
          <w:tcPr>
            <w:tcW w:w="74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rPr>
              <w:t>compensation</w:t>
            </w:r>
          </w:p>
        </w:tc>
        <w:tc>
          <w:tcPr>
            <w:tcW w:w="66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color w:val="auto"/>
              </w:rPr>
              <w:t>impacts(iii)</w:t>
            </w:r>
          </w:p>
        </w:tc>
        <w:tc>
          <w:tcPr>
            <w:tcW w:w="7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color w:val="auto"/>
              </w:rPr>
              <w:t>acquisitions</w:t>
            </w:r>
          </w:p>
        </w:tc>
        <w:tc>
          <w:tcPr>
            <w:tcW w:w="60" w:type="dxa"/>
            <w:vAlign w:val="bottom"/>
          </w:tcPr>
          <w:p>
            <w:pPr>
              <w:spacing w:after="0"/>
              <w:rPr>
                <w:sz w:val="10"/>
                <w:szCs w:val="10"/>
                <w:color w:val="auto"/>
              </w:rPr>
            </w:pPr>
          </w:p>
        </w:tc>
        <w:tc>
          <w:tcPr>
            <w:tcW w:w="94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1"/>
                <w:szCs w:val="11"/>
                <w:color w:val="auto"/>
              </w:rPr>
              <w:t>compensation  imp</w:t>
            </w: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RMB</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RMB</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RMB</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RMB</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RMB</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RMB</w:t>
            </w:r>
          </w:p>
        </w:tc>
        <w:tc>
          <w:tcPr>
            <w:tcW w:w="8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RMB</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RMB</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RMB</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US$</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US$</w:t>
            </w:r>
          </w:p>
        </w:tc>
        <w:tc>
          <w:tcPr>
            <w:tcW w:w="60" w:type="dxa"/>
            <w:vAlign w:val="bottom"/>
          </w:tcPr>
          <w:p>
            <w:pPr>
              <w:spacing w:after="0"/>
              <w:rPr>
                <w:sz w:val="11"/>
                <w:szCs w:val="11"/>
                <w:color w:val="auto"/>
              </w:rPr>
            </w:pP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11"/>
                <w:szCs w:val="11"/>
                <w:color w:val="auto"/>
              </w:rPr>
              <w:t>US$</w:t>
            </w:r>
          </w:p>
        </w:tc>
        <w:tc>
          <w:tcPr>
            <w:tcW w:w="0" w:type="dxa"/>
            <w:vAlign w:val="bottom"/>
          </w:tcPr>
          <w:p>
            <w:pPr>
              <w:spacing w:after="0"/>
              <w:rPr>
                <w:sz w:val="1"/>
                <w:szCs w:val="1"/>
                <w:color w:val="auto"/>
              </w:rPr>
            </w:pPr>
          </w:p>
        </w:tc>
      </w:tr>
      <w:tr>
        <w:trPr>
          <w:trHeight w:val="158"/>
        </w:trPr>
        <w:tc>
          <w:tcPr>
            <w:tcW w:w="100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Cost of revenues</w:t>
            </w:r>
          </w:p>
        </w:tc>
        <w:tc>
          <w:tcPr>
            <w:tcW w:w="66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97"/>
              </w:rPr>
              <w:t>(1,724,821)</w:t>
            </w: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400"/>
              <w:spacing w:after="0" w:line="158" w:lineRule="exact"/>
              <w:rPr>
                <w:sz w:val="20"/>
                <w:szCs w:val="20"/>
                <w:color w:val="auto"/>
              </w:rPr>
            </w:pPr>
            <w:r>
              <w:rPr>
                <w:rFonts w:ascii="Times New Roman" w:cs="Times New Roman" w:eastAsia="Times New Roman" w:hAnsi="Times New Roman"/>
                <w:sz w:val="14"/>
                <w:szCs w:val="14"/>
                <w:color w:val="auto"/>
                <w:w w:val="85"/>
              </w:rPr>
              <w:t>128</w:t>
            </w: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1,822</w:t>
            </w: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94"/>
              </w:rPr>
              <w:t>(1,722,871)</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94"/>
              </w:rPr>
              <w:t>(1,611,502)</w:t>
            </w: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6,840</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2,752</w:t>
            </w: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320"/>
              <w:spacing w:after="0" w:line="158"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94"/>
              </w:rPr>
              <w:t>(1,601,910)</w:t>
            </w: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94"/>
              </w:rPr>
              <w:t>(230,442)</w:t>
            </w: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978</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Research and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(222,684)</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120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10,198</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(212,366)</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(216,558)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1,727</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10,926</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(203,905)</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(30,967)</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247</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1,562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Sales and</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marketing</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(316,699)</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521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4,480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(311,698)</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(348,299)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5,006</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3,418</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(339,875)</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(49,806)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716</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489</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General and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administrative</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(143,621)</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25,993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(117,628)</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(102,051)</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16,338</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(85,713)</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(14,593)</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2,336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0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Cost and</w:t>
            </w: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(2,407,825)</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769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42,493</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(2,364,563)</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(2,278,410)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13,573</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33,434</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(2,231,403)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(325,808)</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1,941</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4,781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Income from</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236,686</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769</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42,493</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279,948</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307,056</w:t>
            </w:r>
          </w:p>
        </w:tc>
        <w:tc>
          <w:tcPr>
            <w:tcW w:w="1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13,573</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33,434</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354,063</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43,909</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1,941</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4,781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attributable to</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Hello Group</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187,235</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769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42,493</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230,497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237,335</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13,573</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33,434</w:t>
            </w: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(3,030)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281,312</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33,940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1,941</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4,781</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238" w:right="239" w:bottom="1440" w:gutter="0" w:footer="0" w:header="0"/>
        </w:sectPr>
      </w:pPr>
    </w:p>
    <w:bookmarkStart w:id="14" w:name="page15"/>
    <w:bookmarkEnd w:id="14"/>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Hello Group Inc.</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to comparable GAAP measures</w:t>
      </w:r>
    </w:p>
    <w:p>
      <w:pPr>
        <w:spacing w:after="0" w:line="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(All amounts in thousands, except per share data)</w:t>
      </w:r>
    </w:p>
    <w:p>
      <w:pPr>
        <w:spacing w:after="0" w:line="180" w:lineRule="exact"/>
        <w:rPr>
          <w:sz w:val="20"/>
          <w:szCs w:val="20"/>
          <w:color w:val="auto"/>
        </w:rPr>
      </w:pPr>
    </w:p>
    <w:p>
      <w:pPr>
        <w:ind w:left="560" w:right="1880" w:hanging="325"/>
        <w:spacing w:after="0" w:line="281" w:lineRule="auto"/>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 of Non-GAAP cost and operating expenses, income from operations, and net income (loss) to comparable GAAP measures-continued.</w:t>
      </w:r>
    </w:p>
    <w:p>
      <w:pPr>
        <w:spacing w:after="0" w:line="132"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color w:val="auto"/>
              </w:rPr>
              <w:t>Year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color w:val="auto"/>
              </w:rPr>
              <w:t>Year</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Year</w:t>
            </w: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1"/>
                <w:szCs w:val="11"/>
                <w:color w:val="auto"/>
              </w:rPr>
              <w:t>Ended December 31, 2024</w:t>
            </w: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1"/>
                <w:szCs w:val="11"/>
                <w:color w:val="auto"/>
              </w:rPr>
              <w:t>Ended December 31, 2025</w:t>
            </w: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1"/>
                <w:szCs w:val="11"/>
                <w:color w:val="auto"/>
              </w:rPr>
              <w:t>Ended December 31, 202</w:t>
            </w:r>
          </w:p>
        </w:tc>
        <w:tc>
          <w:tcPr>
            <w:tcW w:w="0" w:type="dxa"/>
            <w:vAlign w:val="bottom"/>
          </w:tcPr>
          <w:p>
            <w:pPr>
              <w:spacing w:after="0"/>
              <w:rPr>
                <w:sz w:val="1"/>
                <w:szCs w:val="1"/>
                <w:color w:val="auto"/>
              </w:rPr>
            </w:pPr>
          </w:p>
        </w:tc>
      </w:tr>
      <w:tr>
        <w:trPr>
          <w:trHeight w:val="88"/>
        </w:trPr>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tcPr>
          <w:p>
            <w:pPr>
              <w:jc w:val="center"/>
              <w:ind w:right="120"/>
              <w:spacing w:after="0" w:line="89" w:lineRule="exact"/>
              <w:rPr>
                <w:sz w:val="20"/>
                <w:szCs w:val="20"/>
                <w:color w:val="auto"/>
              </w:rPr>
            </w:pPr>
            <w:r>
              <w:rPr>
                <w:rFonts w:ascii="Times New Roman" w:cs="Times New Roman" w:eastAsia="Times New Roman" w:hAnsi="Times New Roman"/>
                <w:sz w:val="10"/>
                <w:szCs w:val="10"/>
                <w:color w:val="auto"/>
              </w:rPr>
              <w:t>Amortization</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tcPr>
          <w:p>
            <w:pPr>
              <w:jc w:val="center"/>
              <w:ind w:right="120"/>
              <w:spacing w:after="0" w:line="89" w:lineRule="exact"/>
              <w:rPr>
                <w:sz w:val="20"/>
                <w:szCs w:val="20"/>
                <w:color w:val="auto"/>
              </w:rPr>
            </w:pPr>
            <w:r>
              <w:rPr>
                <w:rFonts w:ascii="Times New Roman" w:cs="Times New Roman" w:eastAsia="Times New Roman" w:hAnsi="Times New Roman"/>
                <w:sz w:val="10"/>
                <w:szCs w:val="10"/>
                <w:color w:val="auto"/>
              </w:rPr>
              <w:t>Amortization</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tcPr>
          <w:p>
            <w:pPr>
              <w:jc w:val="center"/>
              <w:ind w:right="120"/>
              <w:spacing w:after="0" w:line="89" w:lineRule="exact"/>
              <w:rPr>
                <w:sz w:val="20"/>
                <w:szCs w:val="20"/>
                <w:color w:val="auto"/>
              </w:rPr>
            </w:pPr>
            <w:r>
              <w:rPr>
                <w:rFonts w:ascii="Times New Roman" w:cs="Times New Roman" w:eastAsia="Times New Roman" w:hAnsi="Times New Roman"/>
                <w:sz w:val="10"/>
                <w:szCs w:val="10"/>
                <w:color w:val="auto"/>
              </w:rPr>
              <w:t>Amortization</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rPr>
              <w:t>of intangible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rPr>
              <w:t>of intangible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rPr>
              <w:t>of intangible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rPr>
              <w:t>assets from</w:t>
            </w: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color w:val="auto"/>
              </w:rPr>
              <w:t>Share-based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color w:val="auto"/>
              </w:rPr>
              <w:t>assets from</w:t>
            </w: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color w:val="auto"/>
              </w:rPr>
              <w:t>Share-based</w:t>
            </w: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color w:val="auto"/>
                <w:w w:val="93"/>
              </w:rPr>
              <w:t>Tax</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color w:val="auto"/>
              </w:rPr>
              <w:t>assets from</w:t>
            </w: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1"/>
                <w:szCs w:val="11"/>
                <w:color w:val="auto"/>
              </w:rPr>
              <w:t>Share-based</w:t>
            </w: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auto"/>
              </w:rPr>
              <w:t>GAAP</w:t>
            </w:r>
          </w:p>
        </w:tc>
        <w:tc>
          <w:tcPr>
            <w:tcW w:w="7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color w:val="auto"/>
              </w:rPr>
              <w:t>business</w:t>
            </w:r>
          </w:p>
        </w:tc>
        <w:tc>
          <w:tcPr>
            <w:tcW w:w="740" w:type="dxa"/>
            <w:vAlign w:val="bottom"/>
            <w:gridSpan w:val="2"/>
            <w:vMerge w:val="continue"/>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Non-GAAP</w:t>
            </w: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auto"/>
              </w:rPr>
              <w:t>GAAP</w:t>
            </w:r>
          </w:p>
        </w:tc>
        <w:tc>
          <w:tcPr>
            <w:tcW w:w="7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color w:val="auto"/>
              </w:rPr>
              <w:t>business</w:t>
            </w:r>
          </w:p>
        </w:tc>
        <w:tc>
          <w:tcPr>
            <w:tcW w:w="74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Non-GAAP</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auto"/>
              </w:rPr>
              <w:t>GAAP</w:t>
            </w:r>
          </w:p>
        </w:tc>
        <w:tc>
          <w:tcPr>
            <w:tcW w:w="72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color w:val="auto"/>
              </w:rPr>
              <w:t>business</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w w:val="98"/>
              </w:rPr>
              <w:t>acquisitions</w:t>
            </w:r>
          </w:p>
        </w:tc>
        <w:tc>
          <w:tcPr>
            <w:tcW w:w="74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rPr>
              <w:t>compensation</w:t>
            </w:r>
          </w:p>
        </w:tc>
        <w:tc>
          <w:tcPr>
            <w:tcW w:w="7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color w:val="auto"/>
              </w:rPr>
              <w:t>acquisitions</w:t>
            </w:r>
          </w:p>
        </w:tc>
        <w:tc>
          <w:tcPr>
            <w:tcW w:w="74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rPr>
              <w:t>compensation</w:t>
            </w:r>
          </w:p>
        </w:tc>
        <w:tc>
          <w:tcPr>
            <w:tcW w:w="66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color w:val="auto"/>
              </w:rPr>
              <w:t>impacts(iii)</w:t>
            </w:r>
          </w:p>
        </w:tc>
        <w:tc>
          <w:tcPr>
            <w:tcW w:w="76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w w:val="98"/>
              </w:rPr>
              <w:t>acquisitions</w:t>
            </w:r>
          </w:p>
        </w:tc>
        <w:tc>
          <w:tcPr>
            <w:tcW w:w="82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color w:val="auto"/>
              </w:rPr>
              <w:t>compensation  im</w:t>
            </w: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RMB</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RMB</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RMB</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RMB</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RMB</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RMB</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RMB</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RMB</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RMB</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color w:val="auto"/>
              </w:rPr>
              <w:t>US$</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US$</w:t>
            </w: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color w:val="auto"/>
              </w:rPr>
              <w:t>US$</w:t>
            </w:r>
          </w:p>
        </w:tc>
        <w:tc>
          <w:tcPr>
            <w:tcW w:w="0" w:type="dxa"/>
            <w:vAlign w:val="bottom"/>
          </w:tcPr>
          <w:p>
            <w:pPr>
              <w:spacing w:after="0"/>
              <w:rPr>
                <w:sz w:val="1"/>
                <w:szCs w:val="1"/>
                <w:color w:val="auto"/>
              </w:rPr>
            </w:pPr>
          </w:p>
        </w:tc>
      </w:tr>
      <w:tr>
        <w:trPr>
          <w:trHeight w:val="158"/>
        </w:trPr>
        <w:tc>
          <w:tcPr>
            <w:tcW w:w="100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Cost of revenues</w:t>
            </w:r>
          </w:p>
        </w:tc>
        <w:tc>
          <w:tcPr>
            <w:tcW w:w="66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97"/>
              </w:rPr>
              <w:t>(6,447,341)</w:t>
            </w: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400"/>
              <w:spacing w:after="0" w:line="158" w:lineRule="exact"/>
              <w:rPr>
                <w:sz w:val="20"/>
                <w:szCs w:val="20"/>
                <w:color w:val="auto"/>
              </w:rPr>
            </w:pPr>
            <w:r>
              <w:rPr>
                <w:rFonts w:ascii="Times New Roman" w:cs="Times New Roman" w:eastAsia="Times New Roman" w:hAnsi="Times New Roman"/>
                <w:sz w:val="14"/>
                <w:szCs w:val="14"/>
                <w:color w:val="auto"/>
                <w:w w:val="85"/>
              </w:rPr>
              <w:t>128</w:t>
            </w: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7,643</w:t>
            </w: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94"/>
              </w:rPr>
              <w:t>(6,439,570)</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94"/>
              </w:rPr>
              <w:t>(6,446,619)</w:t>
            </w: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13,345</w:t>
            </w: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8,406</w:t>
            </w: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320"/>
              <w:spacing w:after="0" w:line="158"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94"/>
              </w:rPr>
              <w:t>(6,424,868)</w:t>
            </w: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(921,854)</w:t>
            </w: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1,908</w:t>
            </w: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1,202</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Research and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(804,425)</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120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43,526</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(760,779)</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(779,449)</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5,061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41,998</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(732,390)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(111,460)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Sales and</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marketing</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(1,329,780)</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521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19,520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(1,309,739)</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(1,368,658)</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15,252</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15,874</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(1,337,532)</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(195,715)</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2,181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2,270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General and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administrative</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(507,658)</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121,883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(385,775)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(455,393)</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96,467</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(358,926)</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(65,120)</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13,795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0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Cost and</w:t>
            </w: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(9,089,204)</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769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192,572</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(8,895,863)</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(9,050,119)</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33,658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162,745</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(8,853,716)</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(1,294,149)</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4,813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23,273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Income from</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1,532,770</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769</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192,572</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1,726,111</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1,354,563</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33,658</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162,745</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1,550,966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193,701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4,813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23,273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attributable to</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Hello Group</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1,039,573</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769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192,572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1,232,914</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804,013</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33,658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162,745</w:t>
            </w: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(6,872)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993,544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114,974</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4,813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23,273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60" w:right="1860" w:hanging="325"/>
        <w:spacing w:after="0" w:line="281" w:lineRule="auto"/>
        <w:tabs>
          <w:tab w:leader="none" w:pos="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tax impacts related to the amortization of intangible assets from business acquisition. There is no tax impact related to share-based compensation.</w:t>
      </w:r>
    </w:p>
    <w:p>
      <w:pPr>
        <w:spacing w:after="0" w:line="7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12</w:t>
      </w:r>
    </w:p>
    <w:sectPr>
      <w:pgSz w:w="11900" w:h="16838" w:orient="portrait"/>
      <w:cols w:equalWidth="0" w:num="1">
        <w:col w:w="10220"/>
      </w:cols>
      <w:pgMar w:left="1440" w:top="2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2026-03-18T07:12:41Z</dcterms:created>
  <dcterms:modified xsi:type="dcterms:W3CDTF">2026-03-18T07:12:41Z</dcterms:modified>
</cp:coreProperties>
</file>