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20-F/A</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460"/>
        <w:spacing w:after="0"/>
        <w:tabs>
          <w:tab w:leader="none" w:pos="3760" w:val="left"/>
          <w:tab w:leader="none" w:pos="4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1800860</wp:posOffset>
            </wp:positionH>
            <wp:positionV relativeFrom="paragraph">
              <wp:posOffset>-7620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2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2722880</wp:posOffset>
            </wp:positionH>
            <wp:positionV relativeFrom="paragraph">
              <wp:posOffset>-7620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Momo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Cayman Islands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Block B</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Tower 2, Wangjing SOHO</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No.1 Futongdong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Chaoyang District, Beijing 100102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Jonathan Xiaosong Zhang, Chief Financial Officer</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Block B</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Tower 2, Wangjing SOHO</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No.1 Futongdong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Chaoyang District, Beijing 100102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+86-10-5731-0567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Email: ir@immomo.com</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1300" w:type="dxa"/>
        <w:tblCellMar>
          <w:top w:w="0" w:type="dxa"/>
          <w:left w:w="0" w:type="dxa"/>
          <w:bottom w:w="0" w:type="dxa"/>
          <w:right w:w="0" w:type="dxa"/>
        </w:tblCellMar>
      </w:tblPr>
      <w:tr>
        <w:trPr>
          <w:trHeight w:val="171"/>
        </w:trPr>
        <w:tc>
          <w:tcPr>
            <w:tcW w:w="104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87"/>
              </w:rPr>
              <w:t>American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40" w:type="dxa"/>
            <w:vAlign w:val="bottom"/>
            <w:vMerge w:val="continue"/>
          </w:tcPr>
          <w:p>
            <w:pPr>
              <w:spacing w:after="0"/>
              <w:rPr>
                <w:sz w:val="16"/>
                <w:szCs w:val="16"/>
                <w:color w:val="auto"/>
              </w:rPr>
            </w:pPr>
          </w:p>
        </w:tc>
        <w:tc>
          <w:tcPr>
            <w:tcW w:w="350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depositary shares, each</w:t>
            </w:r>
          </w:p>
        </w:tc>
        <w:tc>
          <w:tcPr>
            <w:tcW w:w="1480" w:type="dxa"/>
            <w:vAlign w:val="bottom"/>
            <w:vMerge w:val="continue"/>
          </w:tcPr>
          <w:p>
            <w:pPr>
              <w:spacing w:after="0"/>
              <w:rPr>
                <w:sz w:val="16"/>
                <w:szCs w:val="16"/>
                <w:color w:val="auto"/>
              </w:rPr>
            </w:pPr>
          </w:p>
        </w:tc>
        <w:tc>
          <w:tcPr>
            <w:tcW w:w="2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4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89"/>
              </w:rPr>
              <w:t>representing two Class A ordinary shares</w:t>
            </w:r>
          </w:p>
        </w:tc>
        <w:tc>
          <w:tcPr>
            <w:tcW w:w="4260" w:type="dxa"/>
            <w:vAlign w:val="bottom"/>
            <w:gridSpan w:val="3"/>
          </w:tcPr>
          <w:p>
            <w:pPr>
              <w:jc w:val="center"/>
              <w:ind w:left="1270"/>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bl>
    <w:p>
      <w:pPr>
        <w:sectPr>
          <w:pgSz w:w="11900" w:h="16838" w:orient="portrait"/>
          <w:cols w:equalWidth="0" w:num="1">
            <w:col w:w="11380"/>
          </w:cols>
          <w:pgMar w:left="240" w:top="368" w:right="279" w:bottom="0" w:gutter="0" w:footer="0" w:header="0"/>
        </w:sectPr>
      </w:pPr>
    </w:p>
    <w:bookmarkStart w:id="1" w:name="page2"/>
    <w:bookmarkEnd w:id="1"/>
    <w:p>
      <w:pPr>
        <w:jc w:val="center"/>
        <w:ind w:right="5640"/>
        <w:spacing w:after="0"/>
        <w:rPr>
          <w:sz w:val="20"/>
          <w:szCs w:val="20"/>
          <w:color w:val="auto"/>
        </w:rPr>
      </w:pPr>
      <w:r>
        <w:rPr>
          <w:rFonts w:ascii="Arial" w:cs="Arial" w:eastAsia="Arial" w:hAnsi="Arial"/>
          <w:sz w:val="18"/>
          <w:szCs w:val="18"/>
          <w:b w:val="1"/>
          <w:bCs w:val="1"/>
          <w:color w:val="auto"/>
        </w:rPr>
        <w:t>Class A ordinary shares, par value</w:t>
      </w:r>
    </w:p>
    <w:p>
      <w:pPr>
        <w:spacing w:after="0" w:line="27" w:lineRule="exact"/>
        <w:rPr>
          <w:sz w:val="20"/>
          <w:szCs w:val="20"/>
          <w:color w:val="auto"/>
        </w:rPr>
      </w:pPr>
    </w:p>
    <w:p>
      <w:pPr>
        <w:jc w:val="center"/>
        <w:ind w:right="5640"/>
        <w:spacing w:after="0"/>
        <w:rPr>
          <w:sz w:val="20"/>
          <w:szCs w:val="20"/>
          <w:color w:val="auto"/>
        </w:rPr>
      </w:pPr>
      <w:r>
        <w:rPr>
          <w:rFonts w:ascii="Arial" w:cs="Arial" w:eastAsia="Arial" w:hAnsi="Arial"/>
          <w:sz w:val="18"/>
          <w:szCs w:val="18"/>
          <w:b w:val="1"/>
          <w:bCs w:val="1"/>
          <w:color w:val="auto"/>
        </w:rPr>
        <w:t>US$0.0001 per share*</w:t>
      </w:r>
    </w:p>
    <w:p>
      <w:pPr>
        <w:spacing w:after="0" w:line="26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for trading, but only in connection with the listing on The NASDAQ Global Select Market of American depositary shares.</w:t>
      </w:r>
    </w:p>
    <w:p>
      <w:pPr>
        <w:spacing w:after="0" w:line="221" w:lineRule="exact"/>
        <w:rPr>
          <w:rFonts w:ascii="Arial" w:cs="Arial" w:eastAsia="Arial" w:hAnsi="Arial"/>
          <w:sz w:val="18"/>
          <w:szCs w:val="18"/>
          <w:color w:val="auto"/>
        </w:rPr>
      </w:pPr>
    </w:p>
    <w:p>
      <w:pPr>
        <w:ind w:left="2800"/>
        <w:spacing w:after="0"/>
        <w:rPr>
          <w:rFonts w:ascii="Arial" w:cs="Arial" w:eastAsia="Arial" w:hAnsi="Arial"/>
          <w:sz w:val="18"/>
          <w:szCs w:val="18"/>
          <w:color w:val="auto"/>
        </w:rPr>
      </w:pPr>
      <w:r>
        <w:rPr>
          <w:rFonts w:ascii="Arial" w:cs="Arial" w:eastAsia="Arial" w:hAnsi="Arial"/>
          <w:sz w:val="18"/>
          <w:szCs w:val="18"/>
          <w:b w:val="1"/>
          <w:bCs w:val="1"/>
          <w:color w:val="auto"/>
        </w:rPr>
        <w:t>Securities registered or to be registered pursuant to Section 12(g) of the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280,869,740 Class A ordinary shares and 96,886,370 Class B ordinary shares, par value US$0.0001 per share, as of December 31, 2014.</w:t>
      </w:r>
    </w:p>
    <w:p>
      <w:pPr>
        <w:spacing w:after="0" w:line="178" w:lineRule="exact"/>
        <w:rPr>
          <w:sz w:val="20"/>
          <w:szCs w:val="20"/>
          <w:color w:val="auto"/>
        </w:rPr>
      </w:pPr>
    </w:p>
    <w:p>
      <w:pPr>
        <w:spacing w:after="0" w:line="207" w:lineRule="exact"/>
        <w:tabs>
          <w:tab w:leader="none" w:pos="8620" w:val="left"/>
          <w:tab w:leader="none" w:pos="930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left="2440"/>
        <w:spacing w:after="0" w:line="207" w:lineRule="exact"/>
        <w:tabs>
          <w:tab w:leader="none" w:pos="5000" w:val="left"/>
          <w:tab w:leader="none" w:pos="71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860"/>
        <w:spacing w:after="0" w:line="234" w:lineRule="exact"/>
        <w:rPr>
          <w:sz w:val="20"/>
          <w:szCs w:val="20"/>
          <w:color w:val="auto"/>
        </w:rPr>
      </w:pP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34" w:lineRule="exact"/>
        <w:rPr>
          <w:sz w:val="20"/>
          <w:szCs w:val="20"/>
          <w:color w:val="auto"/>
        </w:rPr>
      </w:pPr>
    </w:p>
    <w:p>
      <w:pPr>
        <w:sectPr>
          <w:pgSz w:w="11900" w:h="16838" w:orient="portrait"/>
          <w:cols w:equalWidth="0" w:num="5">
            <w:col w:w="2200" w:space="80"/>
            <w:col w:w="160" w:space="460"/>
            <w:col w:w="5700" w:space="720"/>
            <w:col w:w="420" w:space="80"/>
            <w:col w:w="1600"/>
          </w:cols>
          <w:pgMar w:left="240" w:top="121" w:right="239" w:bottom="1440" w:gutter="0" w:footer="0" w:header="0"/>
          <w:type w:val="continuous"/>
        </w:sectPr>
      </w:pPr>
    </w:p>
    <w:p>
      <w:pPr>
        <w:ind w:right="70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10220" w:val="left"/>
          <w:tab w:leader="none" w:pos="10900" w:val="left"/>
        </w:tabs>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225"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Amendment No. 1 to the annual report on Form 20-F for the fiscal year ended December 31, 2014, which was originally filed with the Securities and Exchange Commission on April 20, 2015, or the 2014 Annual Report, is being filed solely for purposes of filing Interactive Data File disclosure as Exhibit 101 in accordance with Rule 405 of Regulation S-T. Exhibit 101 was not previously filed.</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Amendment No. 1 speaks as of the filing date of the 2014 Annual Report on April 20, 2015. Other than as expressly set forth above, this Form 20-F/A does not, and does not purport to, amend, update or restate the information in any other item of the 2014 Annual Report, or reflect any event that has occurred after the 2014 Annual Report was originally filed.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380" w:type="dxa"/>
            <w:vAlign w:val="bottom"/>
            <w:gridSpan w:val="2"/>
          </w:tcPr>
          <w:p>
            <w:pPr>
              <w:jc w:val="center"/>
              <w:ind w:left="2570"/>
              <w:spacing w:after="0"/>
              <w:rPr>
                <w:sz w:val="20"/>
                <w:szCs w:val="20"/>
                <w:color w:val="auto"/>
              </w:rPr>
            </w:pPr>
            <w:r>
              <w:rPr>
                <w:rFonts w:ascii="Arial" w:cs="Arial" w:eastAsia="Arial" w:hAnsi="Arial"/>
                <w:sz w:val="18"/>
                <w:szCs w:val="18"/>
                <w:b w:val="1"/>
                <w:bCs w:val="1"/>
                <w:color w:val="auto"/>
              </w:rPr>
              <w:t>PART III</w:t>
            </w:r>
          </w:p>
        </w:tc>
      </w:tr>
      <w:tr>
        <w:trPr>
          <w:trHeight w:val="480"/>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19.</w:t>
            </w:r>
          </w:p>
        </w:tc>
        <w:tc>
          <w:tcPr>
            <w:tcW w:w="444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w:t>
            </w:r>
          </w:p>
        </w:tc>
        <w:tc>
          <w:tcPr>
            <w:tcW w:w="720" w:type="dxa"/>
            <w:vAlign w:val="bottom"/>
            <w:tcBorders>
              <w:top w:val="single" w:sz="8" w:color="auto"/>
            </w:tcBorders>
          </w:tcPr>
          <w:p>
            <w:pPr>
              <w:spacing w:after="0"/>
              <w:rPr>
                <w:sz w:val="24"/>
                <w:szCs w:val="24"/>
                <w:color w:val="auto"/>
              </w:rPr>
            </w:pPr>
          </w:p>
        </w:tc>
      </w:tr>
      <w:tr>
        <w:trPr>
          <w:trHeight w:val="369"/>
        </w:trPr>
        <w:tc>
          <w:tcPr>
            <w:tcW w:w="10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92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Description of Document</w:t>
            </w:r>
          </w:p>
        </w:tc>
      </w:tr>
      <w:tr>
        <w:trPr>
          <w:trHeight w:val="20"/>
        </w:trPr>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5"/>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w w:val="99"/>
              </w:rPr>
              <w:t>XBRL Taxonomy Extension Presentation Linkbase Document</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60" w:type="dxa"/>
            <w:vAlign w:val="bottom"/>
            <w:gridSpan w:val="4"/>
          </w:tcPr>
          <w:p>
            <w:pPr>
              <w:jc w:val="right"/>
              <w:ind w:right="32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380"/>
          </w:cols>
          <w:pgMar w:left="240" w:top="27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Amendment No. 1 to its annual report on its behalf.</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Momo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 Tang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Yan Tang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2019-12-09T06:11:44Z</dcterms:created>
  <dcterms:modified xsi:type="dcterms:W3CDTF">2019-12-09T06:11:44Z</dcterms:modified>
</cp:coreProperties>
</file>