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9780d6k.htm"/>
      <w:bookmarkStart w:id="1" w:name="ksd179780d6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001-36765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Hello Group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Building 203, Block A10 </w:t>
      </w:r>
    </w:p>
    <w:p>
      <w:pPr>
        <w:pStyle w:val="TextBody"/>
        <w:bidi w:val="0"/>
        <w:spacing w:before="0" w:after="0"/>
        <w:jc w:val="center"/>
        <w:rPr>
          <w:rFonts w:ascii="Times New Roman" w:hAnsi="Times New Roman"/>
          <w:b/>
          <w:sz w:val="20"/>
        </w:rPr>
      </w:pPr>
      <w:r>
        <w:rPr>
          <w:rFonts w:ascii="Times New Roman" w:hAnsi="Times New Roman"/>
          <w:b/>
          <w:sz w:val="20"/>
        </w:rPr>
        <w:t xml:space="preserve">Jiuxianqiao North Road </w:t>
      </w:r>
    </w:p>
    <w:p>
      <w:pPr>
        <w:pStyle w:val="TextBody"/>
        <w:bidi w:val="0"/>
        <w:spacing w:before="0" w:after="0"/>
        <w:jc w:val="center"/>
        <w:rPr>
          <w:rFonts w:ascii="Times New Roman" w:hAnsi="Times New Roman"/>
          <w:b/>
          <w:sz w:val="20"/>
        </w:rPr>
      </w:pPr>
      <w:r>
        <w:rPr>
          <w:rFonts w:ascii="Times New Roman" w:hAnsi="Times New Roman"/>
          <w:b/>
          <w:sz w:val="20"/>
        </w:rPr>
        <w:t xml:space="preserve">Chaoyang District, Beijing 100015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Index </w:t>
      </w:r>
    </w:p>
    <w:p>
      <w:pPr>
        <w:pStyle w:val="TextBody"/>
        <w:bidi w:val="0"/>
        <w:spacing w:before="240" w:after="0"/>
        <w:jc w:val="left"/>
        <w:rPr/>
      </w:pPr>
      <w:hyperlink w:anchor="d179780dex991.htm">
        <w:r>
          <w:rPr>
            <w:rStyle w:val="InternetLink"/>
            <w:rFonts w:ascii="Times New Roman" w:hAnsi="Times New Roman"/>
            <w:sz w:val="20"/>
          </w:rPr>
          <w:t xml:space="preserve">Exhibit 99.1—Press Release </w:t>
        </w:r>
      </w:hyperlink>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Hello Group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Cathy Hui Peng</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Cathy Hui Peng</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3, 2026 </w:t>
      </w:r>
    </w:p>
    <w:p>
      <w:pPr>
        <w:pStyle w:val="TextBody"/>
        <w:bidi w:val="0"/>
        <w:spacing w:before="0" w:after="0"/>
        <w:jc w:val="right"/>
        <w:rPr>
          <w:rFonts w:ascii="Times New Roman" w:hAnsi="Times New Roman"/>
          <w:b/>
          <w:sz w:val="20"/>
        </w:rPr>
      </w:pPr>
      <w:bookmarkStart w:id="2" w:name="d179780dex991.htm"/>
      <w:bookmarkStart w:id="3" w:name="ksd179780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Hello Group Inc. Announces Unaudited Financial Results for the Second Quarter of 2026 </w:t>
      </w:r>
    </w:p>
    <w:p>
      <w:pPr>
        <w:pStyle w:val="TextBody"/>
        <w:bidi w:val="0"/>
        <w:spacing w:before="120" w:after="0"/>
        <w:jc w:val="left"/>
        <w:rPr>
          <w:rFonts w:ascii="Times New Roman" w:hAnsi="Times New Roman"/>
          <w:sz w:val="20"/>
        </w:rPr>
      </w:pPr>
      <w:r>
        <w:rPr>
          <w:rFonts w:ascii="Times New Roman" w:hAnsi="Times New Roman"/>
          <w:sz w:val="20"/>
        </w:rPr>
        <w:t xml:space="preserve">BEIJING, CHINA, September 3, 2026 – Hello Group Inc. (NASDAQ: MOMO) (“Hello Group” or the “Company”), a leading player in Asia’s online social networking space, today announced its unaudited financial results for the second quarter of 2026.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of 2026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revenues decreased by 5.1% year over year to RMB2,486.0 million (US$366.4 million*) in the second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revenues from overseas increased by 52.0% year over year to RMB672.7 million (US$99.1 million) in the second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attributable to the shareholders of Hello Group Inc. was RMB237.4 million (US$35.0 million) in the second quarter of 2026, compared to a net loss of RMB140.2 million in the same period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net income attributable to the shareholders of Hello Group Inc. (note 1) was RMB273.9 million (US$40.4 million) in the second quarter of 2026, compared to a net loss of RMB96.0 million in the same period of 2025. In the second quarter of 2025, the Company accrued an additional withholding tax of RMB547.9 million related to dividends paid or payable by its wholly foreign-owned enterprise (“WFOE”) in Chinese mainland to its offshore parent company in Hong Kong, Momo Hong Kong.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Diluted net income per American Depositary Share (“ADS”) was RMB1.52 (US$0.22) in the second quarter of 2026, compared to a diluted net loss per ADS of RMB0.84 in the same period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diluted net income per ADS (note 1) was RMB1.75 (US$0.26) in the second quarter of 2026, compared to a diluted net loss per ADS of RMB0.58 in the same period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Momo app, total paying users were 3.9 million for the second quarter of 2026, compared to 3.5 million for the same period last year, and 3.7 million for the previous quarter. Tantan had 0.5 million paying users for the second quarter of 2026 compared to 0.7 million for the same period last year and 0.6 million for the previous quarter.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First Half of 2026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revenues decreased by 5.2% year over year to RMB4,872.0 million (US$718.0 million) for the first half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revenues from overseas increased by 48.2% year over year to RMB1,270.1 million (US$187.2 million) for the first half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attributable to the shareholders of Hello Group Inc. was RMB528.5 million (US$77.9 million) for the first half of 2026, compared to RMB217.8 million during the same period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net income attributable to the shareholders of Hello Group Inc. (note 1) was RMB602.7 million (US$88.8 million) for the first half of 2026, compared to RMB307.7 million during the same period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Diluted net income per ADS was RMB3.33 (US$0.49) for the first half of 2026, compared to RMB1.27 during the same period of 2025.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7"/>
        <w:gridCol w:w="9998"/>
      </w:tblGrid>
      <w:tr>
        <w:trPr/>
        <w:tc>
          <w:tcPr>
            <w:tcW w:w="207" w:type="dxa"/>
            <w:tcBorders/>
          </w:tcPr>
          <w:p>
            <w:pPr>
              <w:pStyle w:val="TableContents"/>
              <w:bidi w:val="0"/>
              <w:spacing w:before="0" w:after="283"/>
              <w:jc w:val="left"/>
              <w:rPr/>
            </w:pPr>
            <w:r>
              <w:rPr/>
              <w:t>* </w:t>
            </w:r>
          </w:p>
        </w:tc>
        <w:tc>
          <w:tcPr>
            <w:tcW w:w="99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press release contains translations of certain Renminbi amounts into U.S. dollars at specified rate solely for the convenience of readers. Unless otherwise noted, all translations from Renminbi to U.S. dollars, in this press release, were made at a rate of RMB6.7851 to US$1.00, the effective noon buying rate for June 30, 2026 as set forth in the H.10 statistical release of the Federal Reserve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diluted net income per ADS (note 1) was RMB3.80 (US$0.56) for the first half of 2026, compared to RMB1.80 during the same period of 2025. </w:t>
            </w:r>
          </w:p>
        </w:tc>
      </w:tr>
    </w:tbl>
    <w:p>
      <w:pPr>
        <w:pStyle w:val="TextBody"/>
        <w:bidi w:val="0"/>
        <w:spacing w:before="240" w:after="0"/>
        <w:jc w:val="left"/>
        <w:rPr/>
      </w:pPr>
      <w:r>
        <w:rPr/>
        <w:t>“</w:t>
      </w:r>
      <w:r>
        <w:rPr>
          <w:rFonts w:ascii="Times New Roman" w:hAnsi="Times New Roman"/>
          <w:sz w:val="20"/>
        </w:rPr>
        <w:t xml:space="preserve">The Group maintained steady business momentum in the second quarter of 2026,” commented Yan Tang, Chairman and CEO of Hello Group. “On the domestic front, Momo navigated external headwinds to sustain the healthy performance of our cash-cow business, while Tantan continued to strengthen its AI capabilities to enhance user experience and monetization efficiency. Overseas, our product portfolio shifted from single-product reliance to more balanced and diversified growth, with growing synergies across the portfolio.”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of 2026 Financial Results </w:t>
      </w:r>
    </w:p>
    <w:p>
      <w:pPr>
        <w:pStyle w:val="TextBody"/>
        <w:bidi w:val="0"/>
        <w:spacing w:before="120" w:after="0"/>
        <w:jc w:val="left"/>
        <w:rPr>
          <w:rFonts w:ascii="Times New Roman" w:hAnsi="Times New Roman"/>
          <w:b/>
          <w:i/>
          <w:sz w:val="20"/>
        </w:rPr>
      </w:pPr>
      <w:r>
        <w:rPr>
          <w:rFonts w:ascii="Times New Roman" w:hAnsi="Times New Roman"/>
          <w:b/>
          <w:i/>
          <w:sz w:val="20"/>
        </w:rPr>
        <w:t xml:space="preserve">Net revenues </w:t>
      </w:r>
    </w:p>
    <w:p>
      <w:pPr>
        <w:pStyle w:val="TextBody"/>
        <w:bidi w:val="0"/>
        <w:spacing w:before="120" w:after="0"/>
        <w:jc w:val="left"/>
        <w:rPr>
          <w:rFonts w:ascii="Times New Roman" w:hAnsi="Times New Roman"/>
          <w:sz w:val="20"/>
        </w:rPr>
      </w:pPr>
      <w:r>
        <w:rPr>
          <w:rFonts w:ascii="Times New Roman" w:hAnsi="Times New Roman"/>
          <w:sz w:val="20"/>
        </w:rPr>
        <w:t xml:space="preserve">Total net revenues were RMB2,486.0 million (US$366.4 million) in the second quarter of 2026, a decrease of 5.1% from RMB2,620.4 million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Value-added service revenues mainly include virtual gift revenues from various audio, video and text-based scenarios, and membership subscription revenues. Total value-added service revenues were RMB2,439.6 million (US$359.6 million) in the second quarter of 2026, a decrease of 5.4% from RMB2,579.3 million during the same period of 2025. The decrease was primarily due to (a) external factors that influenced the operational focus of certain broadcasters and agencies on Momo app, which are still in recovery; (b) weak consumer sentiment due to macro headwinds; and (c) to a lesser extent, a decline in Tantan resulting from a decline in user base. The decrease was partially offset by the revenue growth from our overseas apps, driven by the rapid expansion from multiple social entertainment and dating brands across our rich portfolio. </w:t>
      </w:r>
    </w:p>
    <w:p>
      <w:pPr>
        <w:pStyle w:val="TextBody"/>
        <w:bidi w:val="0"/>
        <w:spacing w:before="240" w:after="0"/>
        <w:jc w:val="left"/>
        <w:rPr>
          <w:rFonts w:ascii="Times New Roman" w:hAnsi="Times New Roman"/>
          <w:sz w:val="20"/>
        </w:rPr>
      </w:pPr>
      <w:r>
        <w:rPr>
          <w:rFonts w:ascii="Times New Roman" w:hAnsi="Times New Roman"/>
          <w:sz w:val="20"/>
        </w:rPr>
        <w:t xml:space="preserve">Other services revenues were RMB46.4 million (US$6.8 million) in the second quarter of 2026, compared to RMB41.1 million during the same period of 2025. </w:t>
      </w:r>
    </w:p>
    <w:p>
      <w:pPr>
        <w:pStyle w:val="TextBody"/>
        <w:bidi w:val="0"/>
        <w:spacing w:before="240" w:after="0"/>
        <w:jc w:val="left"/>
        <w:rPr>
          <w:rFonts w:ascii="Times New Roman" w:hAnsi="Times New Roman"/>
          <w:sz w:val="20"/>
        </w:rPr>
      </w:pPr>
      <w:r>
        <w:rPr>
          <w:rFonts w:ascii="Times New Roman" w:hAnsi="Times New Roman"/>
          <w:sz w:val="20"/>
        </w:rPr>
        <w:t xml:space="preserve">Net revenues from Chinese mainland decreased from RMB2,177.9 million in the second quarter of 2025 to RMB1,813.3 million (US$267.2 million) in the second quarter of 2026, primarily due to the decrease in net revenues from Momo app and Tantan app. Net revenues from overseas increased from RMB442.4 million in the second quarter of 2025 to RMB672.7 million (US$99.1 million) in the second quarter of 2026, driven by the growth of new audio- and video-based products in the Middle East and North Africa (“MENA”) region, along with incremental revenue from dating brands outside of MENA.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and expenses </w:t>
      </w:r>
    </w:p>
    <w:p>
      <w:pPr>
        <w:pStyle w:val="TextBody"/>
        <w:bidi w:val="0"/>
        <w:spacing w:before="120" w:after="0"/>
        <w:jc w:val="left"/>
        <w:rPr>
          <w:rFonts w:ascii="Times New Roman" w:hAnsi="Times New Roman"/>
          <w:sz w:val="20"/>
        </w:rPr>
      </w:pPr>
      <w:r>
        <w:rPr>
          <w:rFonts w:ascii="Times New Roman" w:hAnsi="Times New Roman"/>
          <w:sz w:val="20"/>
        </w:rPr>
        <w:t xml:space="preserve">Cost and expenses were RMB2,260.3 million (US$333.1 million) in the second quarter of 2026, an increase of 1.5% from RMB2,227.7 million in the second quarter of 2025. The increase was primarily attributable to: (a) an increase of RMB56.8 million (US$8.4 million) in production costs in connection with films; (b) increased marketing investments in our new overseas apps, partially offset by continued reductions in marketing expenses for our China apps; and (c) increased payment channel costs due to the growth of overseas businesses, which incur higher payment channel costs as a percentage of revenue. The increase was further partially offset by lower revenue-sharing costs with broadcasters on Momo app, despite higher revenue-sharing costs with virtual gift recipients on our overseas apps.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Non-GAAP cost and expenses (note 1) were RMB2,222.3 million (US$327.5 million) in the second quarter of 2026, compared to RMB2,183.6 million during the same period of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from operations </w:t>
      </w:r>
    </w:p>
    <w:p>
      <w:pPr>
        <w:pStyle w:val="TextBody"/>
        <w:bidi w:val="0"/>
        <w:spacing w:before="120" w:after="0"/>
        <w:jc w:val="left"/>
        <w:rPr>
          <w:rFonts w:ascii="Times New Roman" w:hAnsi="Times New Roman"/>
          <w:sz w:val="20"/>
        </w:rPr>
      </w:pPr>
      <w:r>
        <w:rPr>
          <w:rFonts w:ascii="Times New Roman" w:hAnsi="Times New Roman"/>
          <w:sz w:val="20"/>
        </w:rPr>
        <w:t xml:space="preserve">Income from operations was RMB238.0 million (US$35.1 million) in the second quarter of 2026, compared to RMB403.5 million during the same period of 2025. </w:t>
      </w:r>
    </w:p>
    <w:p>
      <w:pPr>
        <w:pStyle w:val="TextBody"/>
        <w:bidi w:val="0"/>
        <w:spacing w:before="240" w:after="0"/>
        <w:jc w:val="left"/>
        <w:rPr>
          <w:rFonts w:ascii="Times New Roman" w:hAnsi="Times New Roman"/>
          <w:sz w:val="20"/>
        </w:rPr>
      </w:pPr>
      <w:r>
        <w:rPr>
          <w:rFonts w:ascii="Times New Roman" w:hAnsi="Times New Roman"/>
          <w:sz w:val="20"/>
        </w:rPr>
        <w:t xml:space="preserve">Non-GAAP income from operations (note 1) was RMB276.1 million (US$40.7 million) in the second quarter of 2026, compared to RMB447.7 million during the same period of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was RMB53.6 million (US$7.9 million) in the second quarter of 2026, compared to RMB105.5 million during the same period of 2025. The decrease was primarily attributable to: (a) a reduction in the total volume of interest-bearing funds, as a result of bank loan repayments, the distribution of a special cash dividend, settlement of withholding tax accrued for prior periods, certain acquisitions and investments, and payment under the Company’s Share Repurchase Program; (b) a lower proportion of high-yield US dollar funds in the total funds; and (c) a drop in the yield of both US dollar and RMB funds due to falling market interest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gain or loss, net </w:t>
      </w:r>
    </w:p>
    <w:p>
      <w:pPr>
        <w:pStyle w:val="TextBody"/>
        <w:bidi w:val="0"/>
        <w:spacing w:before="120" w:after="0"/>
        <w:jc w:val="left"/>
        <w:rPr>
          <w:rFonts w:ascii="Times New Roman" w:hAnsi="Times New Roman"/>
          <w:sz w:val="20"/>
        </w:rPr>
      </w:pPr>
      <w:r>
        <w:rPr>
          <w:rFonts w:ascii="Times New Roman" w:hAnsi="Times New Roman"/>
          <w:sz w:val="20"/>
        </w:rPr>
        <w:t xml:space="preserve">Other gain or loss, net was a net loss of RMB25.1 million (US$3.7 million) in the second quarter of 2026, primarily consisting of losses from unrealized fair value changes in short-term investments, mainly including paper gold.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expenses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expenses were RMB69.6 million (US$10.3 million) in the second quarter of 2026, compared to RMB638.4 million in the second quarter of 2025. The decrease was primarily attributable to the Company’s accrual of an additional withholding tax of RMB547.9 million related to dividends paid or payable by its wholly foreign-owned enterprise (“WFOE”) in Chinese mainland to its offshore parent company, Momo Hong Kong, in the second quarter of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 of income on equity method investments </w:t>
      </w:r>
    </w:p>
    <w:p>
      <w:pPr>
        <w:pStyle w:val="TextBody"/>
        <w:bidi w:val="0"/>
        <w:spacing w:before="120" w:after="0"/>
        <w:jc w:val="left"/>
        <w:rPr>
          <w:rFonts w:ascii="Times New Roman" w:hAnsi="Times New Roman"/>
          <w:sz w:val="20"/>
        </w:rPr>
      </w:pPr>
      <w:r>
        <w:rPr>
          <w:rFonts w:ascii="Times New Roman" w:hAnsi="Times New Roman"/>
          <w:sz w:val="20"/>
        </w:rPr>
        <w:t xml:space="preserve">Share of income on equity method investments was RMB41.5 million (US$6.1 million) in the second quarter of 2026, compared to RMB13.4 million during the same period of 2025. The increase was primarily attributable to a higher unrealized gain in fair value change of an investment fund.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Net income was RMB238.4 million (US$35.1 million) in the second quarter of 2026, compared to a net loss of RMB139.4 million during the same period of 2025. </w:t>
      </w:r>
    </w:p>
    <w:p>
      <w:pPr>
        <w:pStyle w:val="TextBody"/>
        <w:bidi w:val="0"/>
        <w:spacing w:before="240" w:after="0"/>
        <w:jc w:val="left"/>
        <w:rPr>
          <w:rFonts w:ascii="Times New Roman" w:hAnsi="Times New Roman"/>
          <w:sz w:val="20"/>
        </w:rPr>
      </w:pPr>
      <w:r>
        <w:rPr>
          <w:rFonts w:ascii="Times New Roman" w:hAnsi="Times New Roman"/>
          <w:sz w:val="20"/>
        </w:rPr>
        <w:t xml:space="preserve">Non-GAAP net income (note 1) was RMB274.8 million (US$40.5 million) in the second quarter of 2026, compared to a net loss of RMB95.2 million during the same period of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Net income (loss) attributable to the shareholders of Hello Group Inc. </w:t>
      </w:r>
    </w:p>
    <w:p>
      <w:pPr>
        <w:pStyle w:val="TextBody"/>
        <w:bidi w:val="0"/>
        <w:spacing w:before="120" w:after="0"/>
        <w:jc w:val="left"/>
        <w:rPr>
          <w:rFonts w:ascii="Times New Roman" w:hAnsi="Times New Roman"/>
          <w:sz w:val="20"/>
        </w:rPr>
      </w:pPr>
      <w:r>
        <w:rPr>
          <w:rFonts w:ascii="Times New Roman" w:hAnsi="Times New Roman"/>
          <w:sz w:val="20"/>
        </w:rPr>
        <w:t xml:space="preserve">Net income attributable to the shareholders of Hello Group Inc. was RMB237.4 million (US$35.0 million) in the second quarter of 2026, compared to a net loss of RMB140.2 million during the same period of 2025. </w:t>
      </w:r>
    </w:p>
    <w:p>
      <w:pPr>
        <w:pStyle w:val="TextBody"/>
        <w:bidi w:val="0"/>
        <w:spacing w:before="240" w:after="0"/>
        <w:jc w:val="left"/>
        <w:rPr>
          <w:rFonts w:ascii="Times New Roman" w:hAnsi="Times New Roman"/>
          <w:sz w:val="20"/>
        </w:rPr>
      </w:pPr>
      <w:r>
        <w:rPr>
          <w:rFonts w:ascii="Times New Roman" w:hAnsi="Times New Roman"/>
          <w:sz w:val="20"/>
        </w:rPr>
        <w:t xml:space="preserve">Non-GAAP net income (note 1) attributable to the shareholders of Hello Group Inc. was RMB273.9 million (US$40.4 million) in the second quarter of 2026, compared to a net loss of RMB96.0 million during the same period of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 (loss) per ADS </w:t>
      </w:r>
    </w:p>
    <w:p>
      <w:pPr>
        <w:pStyle w:val="TextBody"/>
        <w:bidi w:val="0"/>
        <w:spacing w:before="120" w:after="0"/>
        <w:jc w:val="left"/>
        <w:rPr>
          <w:rFonts w:ascii="Times New Roman" w:hAnsi="Times New Roman"/>
          <w:sz w:val="20"/>
        </w:rPr>
      </w:pPr>
      <w:r>
        <w:rPr>
          <w:rFonts w:ascii="Times New Roman" w:hAnsi="Times New Roman"/>
          <w:sz w:val="20"/>
        </w:rPr>
        <w:t xml:space="preserve">Diluted net income per ADS was RMB1.52 (US$0.22) in the second quarter of 2026, compared to a diluted net loss per ADS of RMB0.84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Non-GAAP diluted net income per ADS (note 1) was RMB1.75 (US$0.26) in the second quarter of 2026, compared to a diluted net loss per ADS of RMB0.58 in the second quarter of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flow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the Company’s cash, cash equivalents, short-term deposits, short-term investments, short-term restricted cash and long-term deposits totaled RMB8,542.4 million (US$1,259.0 million), compared to RMB8,677.6 million as of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operating activities in the second quarter of 2026 was RMB642.3 million (US$94.7 million), compared to RMB250.1 million in the second quarter of 2025. </w:t>
      </w:r>
    </w:p>
    <w:p>
      <w:pPr>
        <w:pStyle w:val="TextBody"/>
        <w:bidi w:val="0"/>
        <w:spacing w:before="360" w:after="0"/>
        <w:jc w:val="left"/>
        <w:rPr>
          <w:rFonts w:ascii="Times New Roman" w:hAnsi="Times New Roman"/>
          <w:b/>
          <w:sz w:val="20"/>
        </w:rPr>
      </w:pPr>
      <w:r>
        <w:rPr>
          <w:rFonts w:ascii="Times New Roman" w:hAnsi="Times New Roman"/>
          <w:b/>
          <w:sz w:val="20"/>
        </w:rPr>
        <w:t xml:space="preserve">First Half of 2026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Net revenues for the first half of 2026 were RMB4,872.0 million (US$718.0 million), a decrease of 5.2% from RMB5,141.2 million in the same period of 2025. </w:t>
      </w:r>
    </w:p>
    <w:p>
      <w:pPr>
        <w:pStyle w:val="TextBody"/>
        <w:bidi w:val="0"/>
        <w:spacing w:before="240" w:after="0"/>
        <w:jc w:val="left"/>
        <w:rPr>
          <w:rFonts w:ascii="Times New Roman" w:hAnsi="Times New Roman"/>
          <w:sz w:val="20"/>
        </w:rPr>
      </w:pPr>
      <w:r>
        <w:rPr>
          <w:rFonts w:ascii="Times New Roman" w:hAnsi="Times New Roman"/>
          <w:sz w:val="20"/>
        </w:rPr>
        <w:t xml:space="preserve">Net income attributable to the shareholders of Hello Group Inc. was RMB528.5 million (US$77.9 million) for the first half of 2026, compared to RMB217.8 million during the same period of 2025. </w:t>
      </w:r>
    </w:p>
    <w:p>
      <w:pPr>
        <w:pStyle w:val="TextBody"/>
        <w:bidi w:val="0"/>
        <w:spacing w:before="240" w:after="0"/>
        <w:jc w:val="left"/>
        <w:rPr>
          <w:rFonts w:ascii="Times New Roman" w:hAnsi="Times New Roman"/>
          <w:sz w:val="20"/>
        </w:rPr>
      </w:pPr>
      <w:r>
        <w:rPr>
          <w:rFonts w:ascii="Times New Roman" w:hAnsi="Times New Roman"/>
          <w:sz w:val="20"/>
        </w:rPr>
        <w:t xml:space="preserve">Non-GAAP net income attributable to the shareholders of Hello Group Inc. (note 1) was RMB602.7 million (US$88.8 million) for the first half of 2026, compared to RMB307.7 million during the same period of 2025. </w:t>
      </w:r>
    </w:p>
    <w:p>
      <w:pPr>
        <w:pStyle w:val="TextBody"/>
        <w:bidi w:val="0"/>
        <w:spacing w:before="240" w:after="0"/>
        <w:jc w:val="left"/>
        <w:rPr>
          <w:rFonts w:ascii="Times New Roman" w:hAnsi="Times New Roman"/>
          <w:sz w:val="20"/>
        </w:rPr>
      </w:pPr>
      <w:r>
        <w:rPr>
          <w:rFonts w:ascii="Times New Roman" w:hAnsi="Times New Roman"/>
          <w:sz w:val="20"/>
        </w:rPr>
        <w:t xml:space="preserve">Diluted net income per ADS was RMB3.33 (US$0.49) during the first half of 2026, compared to RMB1.27 in the same period of 2025. </w:t>
      </w:r>
    </w:p>
    <w:p>
      <w:pPr>
        <w:pStyle w:val="TextBody"/>
        <w:bidi w:val="0"/>
        <w:spacing w:before="240" w:after="0"/>
        <w:jc w:val="left"/>
        <w:rPr>
          <w:rFonts w:ascii="Times New Roman" w:hAnsi="Times New Roman"/>
          <w:sz w:val="20"/>
        </w:rPr>
      </w:pPr>
      <w:r>
        <w:rPr>
          <w:rFonts w:ascii="Times New Roman" w:hAnsi="Times New Roman"/>
          <w:sz w:val="20"/>
        </w:rPr>
        <w:t xml:space="preserve">Non-GAAP diluted net income per ADS (note 1) was RMB3.80 (US$0.56) during the first half of 2026, compared to RMB1.80 in the same period of 2025.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operating activities was RMB801.3 million (US$118.1 million) during the first half of 2026, compared to RMB489.9 million in the same period of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Recent Development </w:t>
      </w:r>
    </w:p>
    <w:p>
      <w:pPr>
        <w:pStyle w:val="TextBody"/>
        <w:bidi w:val="0"/>
        <w:spacing w:before="120" w:after="0"/>
        <w:jc w:val="left"/>
        <w:rPr>
          <w:rFonts w:ascii="Times New Roman" w:hAnsi="Times New Roman"/>
          <w:i/>
          <w:sz w:val="20"/>
        </w:rPr>
      </w:pPr>
      <w:r>
        <w:rPr>
          <w:rFonts w:ascii="Times New Roman" w:hAnsi="Times New Roman"/>
          <w:i/>
          <w:sz w:val="20"/>
        </w:rPr>
        <w:t xml:space="preserve">Share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 2026, the Company has repurchased 68.0 million ADSs for US$424.1 million on the open market under the Share Repurchase Program announced on June 7, 2022 and amended on March 14, 2024 and March 12, 2025, at an average purchase price of US$6.22 per ADS. The remaining size of the program is US$62.0 million. </w:t>
      </w:r>
    </w:p>
    <w:p>
      <w:pPr>
        <w:pStyle w:val="TextBody"/>
        <w:bidi w:val="0"/>
        <w:spacing w:before="360" w:after="0"/>
        <w:jc w:val="left"/>
        <w:rPr>
          <w:rFonts w:ascii="Times New Roman" w:hAnsi="Times New Roman"/>
          <w:i/>
          <w:sz w:val="20"/>
        </w:rPr>
      </w:pPr>
      <w:r>
        <w:rPr>
          <w:rFonts w:ascii="Times New Roman" w:hAnsi="Times New Roman"/>
          <w:i/>
          <w:sz w:val="20"/>
        </w:rPr>
        <w:t xml:space="preserve">Appointment of New Chief Operating Officer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has appointed Mr. Jianhua Wen as the chief operating officer of the Company, effective September 3, 2026. In connection with this appointment, Mr. Wen will cease serving as the chief technology officer of the Company on the same date. </w:t>
      </w:r>
    </w:p>
    <w:p>
      <w:pPr>
        <w:pStyle w:val="TextBody"/>
        <w:bidi w:val="0"/>
        <w:spacing w:before="240" w:after="0"/>
        <w:jc w:val="left"/>
        <w:rPr>
          <w:rFonts w:ascii="Times New Roman" w:hAnsi="Times New Roman"/>
          <w:sz w:val="20"/>
        </w:rPr>
      </w:pPr>
      <w:r>
        <w:rPr>
          <w:rFonts w:ascii="Times New Roman" w:hAnsi="Times New Roman"/>
          <w:sz w:val="20"/>
        </w:rPr>
        <w:t xml:space="preserve">Mr. Wen served as the chief technology officer of the Company from April 2024 to September 2026. He joined the Company in August 2011 and, prior to his appointment as the chief technology officer, held various positions, including development engineer, technical director and vice president of technology, overseeing the Company’s app development and AI department. Before joining the Company, Mr. Wen served as a development engineer at Huawen Group from July 2010 to June 2011.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Outlook </w:t>
      </w:r>
    </w:p>
    <w:p>
      <w:pPr>
        <w:pStyle w:val="TextBody"/>
        <w:bidi w:val="0"/>
        <w:spacing w:before="120" w:after="0"/>
        <w:jc w:val="left"/>
        <w:rPr>
          <w:rFonts w:ascii="Times New Roman" w:hAnsi="Times New Roman"/>
          <w:sz w:val="20"/>
        </w:rPr>
      </w:pPr>
      <w:r>
        <w:rPr>
          <w:rFonts w:ascii="Times New Roman" w:hAnsi="Times New Roman"/>
          <w:sz w:val="20"/>
        </w:rPr>
        <w:t xml:space="preserve">For the third quarter of 2026, the Company expects total net revenues to be between RMB2.4 billion and RMB2.5 billion, representing a decrease of 9.4% to 5.7% year over year. This forecast reflects the Company’s current and preliminary views on the market and operational conditions, which are subject to change. </w:t>
      </w:r>
    </w:p>
    <w:p>
      <w:pPr>
        <w:pStyle w:val="TextBody"/>
        <w:bidi w:val="0"/>
        <w:spacing w:before="360" w:after="0"/>
        <w:jc w:val="left"/>
        <w:rPr>
          <w:rFonts w:ascii="Times New Roman" w:hAnsi="Times New Roman"/>
          <w:b/>
          <w:sz w:val="20"/>
        </w:rPr>
      </w:pPr>
      <w:r>
        <w:rPr>
          <w:rFonts w:ascii="Times New Roman" w:hAnsi="Times New Roman"/>
          <w:b/>
          <w:sz w:val="20"/>
        </w:rPr>
        <w:t xml:space="preserve">Note 1: Non-GAAP measures </w:t>
      </w:r>
    </w:p>
    <w:p>
      <w:pPr>
        <w:pStyle w:val="TextBody"/>
        <w:bidi w:val="0"/>
        <w:spacing w:before="120" w:after="0"/>
        <w:jc w:val="left"/>
        <w:rPr>
          <w:rFonts w:ascii="Times New Roman" w:hAnsi="Times New Roman"/>
          <w:sz w:val="20"/>
        </w:rPr>
      </w:pPr>
      <w:r>
        <w:rPr>
          <w:rFonts w:ascii="Times New Roman" w:hAnsi="Times New Roman"/>
          <w:sz w:val="20"/>
        </w:rPr>
        <w:t xml:space="preserve">To supplement our consolidated financial statements presented in accordance with U.S. generally accepted accounting principles (“GAAP”), we, Hello Group, use various non-GAAP financial measures that are adjusted from the most comparable GAAP results to exclude share-based compensation, amortization of intangible assets from business acquisitions and tax impacts related to the amortization of intangible assets from business acquisitions. </w:t>
      </w:r>
    </w:p>
    <w:p>
      <w:pPr>
        <w:pStyle w:val="TextBody"/>
        <w:bidi w:val="0"/>
        <w:spacing w:before="240" w:after="0"/>
        <w:jc w:val="left"/>
        <w:rPr>
          <w:rFonts w:ascii="Times New Roman" w:hAnsi="Times New Roman"/>
          <w:sz w:val="20"/>
        </w:rPr>
      </w:pPr>
      <w:r>
        <w:rPr>
          <w:rFonts w:ascii="Times New Roman" w:hAnsi="Times New Roman"/>
          <w:sz w:val="20"/>
        </w:rPr>
        <w:t xml:space="preserve">Reconciliations of our non-GAAP financial measures to our U.S. GAAP financial measures are shown in tables at the end of this earnings release, which provide more details about the non-GAAP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Our non-GAAP financial information is provided as additional information to help investors compare business trends among different reporting periods on a consistent basis and to enhance investors’ overall understanding of the historical and current financial performance of our continuing operations and our prospects for the future. Our non-GAAP financial information should be considered in addition to results prepared in accordance with GAAP, but should not be considered a substitute for or superior to the GAAP results. In addition, our calculation of the non-GAAP financial measures may be different from the calculation used by other companies, and therefore comparability may be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non-GAAP information (including non-GAAP cost and operating expenses, income from operations, net income (loss), net income (loss) attributable to the shareholders of Hello Group Inc., and diluted net income (loss) per ADS) is adjusted from the most comparable GAAP results to exclude share-based compensation, amortization of intangible assets from business acquisitions, and tax impacts related to the amortization of intangible assets from business acquisitions. A limitation of using these non-GAAP financial measures is that share-based compensation, amortization of intangible assets from business acquisitions and tax impacts related to the amortization of intangible assets from business acquisitions have been and will continue to be for the foreseeable future significant recurring expenses in our results of operations. We compensate for such limitation by providing reconciliations of our non-GAAP measures to our U.S. GAAP measures. Please see the reconciliation tables at the end of this earnings release.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Hello Group’s management will host an earnings conference call on Thursday, September 3, 2026, at 7:00 a.m. U.S. Eastern Time (7:00 p.m. Beijing / Hong Kong Time on September 3, 2026). </w:t>
      </w:r>
    </w:p>
    <w:p>
      <w:pPr>
        <w:pStyle w:val="TextBody"/>
        <w:bidi w:val="0"/>
        <w:spacing w:before="240" w:after="0"/>
        <w:jc w:val="left"/>
        <w:rPr>
          <w:rFonts w:ascii="Times New Roman" w:hAnsi="Times New Roman"/>
          <w:sz w:val="20"/>
        </w:rPr>
      </w:pPr>
      <w:r>
        <w:rPr>
          <w:rFonts w:ascii="Times New Roman" w:hAnsi="Times New Roman"/>
          <w:sz w:val="20"/>
        </w:rPr>
        <w:t xml:space="preserve">Participants can register for the conference call by navigating to: </w:t>
      </w:r>
    </w:p>
    <w:p>
      <w:pPr>
        <w:pStyle w:val="TextBody"/>
        <w:bidi w:val="0"/>
        <w:spacing w:before="120" w:after="0"/>
        <w:jc w:val="left"/>
        <w:rPr>
          <w:rFonts w:ascii="Times New Roman" w:hAnsi="Times New Roman"/>
          <w:sz w:val="20"/>
        </w:rPr>
      </w:pPr>
      <w:r>
        <w:rPr>
          <w:rFonts w:ascii="Times New Roman" w:hAnsi="Times New Roman"/>
          <w:sz w:val="20"/>
        </w:rPr>
        <w:t xml:space="preserve">https://s1.c-conf.com/diamondpass/10056690-cemk7n.html. </w:t>
      </w:r>
    </w:p>
    <w:p>
      <w:pPr>
        <w:pStyle w:val="TextBody"/>
        <w:bidi w:val="0"/>
        <w:spacing w:before="240" w:after="0"/>
        <w:jc w:val="left"/>
        <w:rPr>
          <w:rFonts w:ascii="Times New Roman" w:hAnsi="Times New Roman"/>
          <w:sz w:val="20"/>
        </w:rPr>
      </w:pPr>
      <w:r>
        <w:rPr>
          <w:rFonts w:ascii="Times New Roman" w:hAnsi="Times New Roman"/>
          <w:sz w:val="20"/>
        </w:rPr>
        <w:t xml:space="preserve">Upon registration, each participant will receive details for the conference call, including dial-in numbers, conference call passcode and a unique access PIN. Please dial in 10 minutes before the call is scheduled to begin. </w:t>
      </w:r>
    </w:p>
    <w:p>
      <w:pPr>
        <w:pStyle w:val="TextBody"/>
        <w:bidi w:val="0"/>
        <w:spacing w:before="240" w:after="0"/>
        <w:jc w:val="left"/>
        <w:rPr>
          <w:rFonts w:ascii="Times New Roman" w:hAnsi="Times New Roman"/>
          <w:sz w:val="20"/>
        </w:rPr>
      </w:pPr>
      <w:r>
        <w:rPr>
          <w:rFonts w:ascii="Times New Roman" w:hAnsi="Times New Roman"/>
          <w:sz w:val="20"/>
        </w:rPr>
        <w:t xml:space="preserve">A telephone replay of the call will be available after the conclusion of the conference call through September 10, 2026. The dial-in details for the replay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U.S. / Canada: 1-855-883-1031 </w:t>
      </w:r>
    </w:p>
    <w:p>
      <w:pPr>
        <w:pStyle w:val="TextBody"/>
        <w:bidi w:val="0"/>
        <w:spacing w:before="0" w:after="0"/>
        <w:jc w:val="left"/>
        <w:rPr>
          <w:rFonts w:ascii="Times New Roman" w:hAnsi="Times New Roman"/>
          <w:sz w:val="20"/>
        </w:rPr>
      </w:pPr>
      <w:r>
        <w:rPr>
          <w:rFonts w:ascii="Times New Roman" w:hAnsi="Times New Roman"/>
          <w:sz w:val="20"/>
        </w:rPr>
        <w:t xml:space="preserve">Hong Kong: 800-930-639 </w:t>
      </w:r>
    </w:p>
    <w:p>
      <w:pPr>
        <w:pStyle w:val="TextBody"/>
        <w:bidi w:val="0"/>
        <w:spacing w:before="0" w:after="0"/>
        <w:jc w:val="left"/>
        <w:rPr>
          <w:rFonts w:ascii="Times New Roman" w:hAnsi="Times New Roman"/>
          <w:sz w:val="20"/>
        </w:rPr>
      </w:pPr>
      <w:r>
        <w:rPr>
          <w:rFonts w:ascii="Times New Roman" w:hAnsi="Times New Roman"/>
          <w:sz w:val="20"/>
        </w:rPr>
        <w:t xml:space="preserve">Passcode: 10056690 </w:t>
      </w:r>
    </w:p>
    <w:p>
      <w:pPr>
        <w:pStyle w:val="TextBody"/>
        <w:bidi w:val="0"/>
        <w:spacing w:before="240" w:after="0"/>
        <w:jc w:val="left"/>
        <w:rPr>
          <w:rFonts w:ascii="Times New Roman" w:hAnsi="Times New Roman"/>
          <w:sz w:val="20"/>
        </w:rPr>
      </w:pPr>
      <w:r>
        <w:rPr>
          <w:rFonts w:ascii="Times New Roman" w:hAnsi="Times New Roman"/>
          <w:sz w:val="20"/>
        </w:rPr>
        <w:t xml:space="preserve">Additionally, a live and archived webcast of the conference call will be available on the Investor Relations section of Hello Group’s website at https://ir.hellogroup.com. </w:t>
      </w:r>
    </w:p>
    <w:p>
      <w:pPr>
        <w:pStyle w:val="TextBody"/>
        <w:bidi w:val="0"/>
        <w:spacing w:before="360" w:after="0"/>
        <w:jc w:val="left"/>
        <w:rPr>
          <w:rFonts w:ascii="Times New Roman" w:hAnsi="Times New Roman"/>
          <w:b/>
          <w:sz w:val="20"/>
        </w:rPr>
      </w:pPr>
      <w:r>
        <w:rPr>
          <w:rFonts w:ascii="Times New Roman" w:hAnsi="Times New Roman"/>
          <w:b/>
          <w:sz w:val="20"/>
        </w:rPr>
        <w:t xml:space="preserve">About Hello Group Inc. </w:t>
      </w:r>
    </w:p>
    <w:p>
      <w:pPr>
        <w:pStyle w:val="TextBody"/>
        <w:bidi w:val="0"/>
        <w:spacing w:before="120" w:after="0"/>
        <w:jc w:val="left"/>
        <w:rPr>
          <w:rFonts w:ascii="Times New Roman" w:hAnsi="Times New Roman"/>
          <w:sz w:val="20"/>
        </w:rPr>
      </w:pPr>
      <w:r>
        <w:rPr>
          <w:rFonts w:ascii="Times New Roman" w:hAnsi="Times New Roman"/>
          <w:sz w:val="20"/>
        </w:rPr>
        <w:t xml:space="preserve">We are a leading player in Asia’s online social networking space. Through Momo, Tantan and other properties within our product portfolio, we enable users to discover new relationships, expand their social connections and build meaningful interactions. Momo is a mobile application that connects people and facilitates social interactions based on location, interests and a variety of online recreational activities. Tantan, which was added into our family of applications through acquisition in May 2018, is a leading social and dating application. Tantan is designed to help its users find and establish romantic connections as well as meet interesting people. Since 2019, we have continuously expanded our portfolio through internal incubation and strategic acquisitions, adding apps such as Hertz, Soulchill, and Happn. These products target more niche markets and selective user demographics both domestically and internationally, further strengthening our global presence. </w:t>
      </w:r>
    </w:p>
    <w:p>
      <w:pPr>
        <w:pStyle w:val="TextBody"/>
        <w:bidi w:val="0"/>
        <w:spacing w:before="240" w:after="0"/>
        <w:jc w:val="left"/>
        <w:rPr>
          <w:rFonts w:ascii="Times New Roman" w:hAnsi="Times New Roman"/>
          <w:sz w:val="20"/>
        </w:rPr>
      </w:pPr>
      <w:r>
        <w:rPr>
          <w:rFonts w:ascii="Times New Roman" w:hAnsi="Times New Roman"/>
          <w:sz w:val="20"/>
        </w:rPr>
        <w:t xml:space="preserve">For investor and media inquiries, please contact: </w:t>
      </w:r>
    </w:p>
    <w:p>
      <w:pPr>
        <w:pStyle w:val="TextBody"/>
        <w:bidi w:val="0"/>
        <w:spacing w:before="120" w:after="0"/>
        <w:jc w:val="left"/>
        <w:rPr>
          <w:rFonts w:ascii="Times New Roman" w:hAnsi="Times New Roman"/>
          <w:b/>
          <w:sz w:val="20"/>
        </w:rPr>
      </w:pPr>
      <w:r>
        <w:rPr>
          <w:rFonts w:ascii="Times New Roman" w:hAnsi="Times New Roman"/>
          <w:b/>
          <w:sz w:val="20"/>
        </w:rPr>
        <w:t xml:space="preserve">Hello Group Inc. </w:t>
      </w:r>
    </w:p>
    <w:p>
      <w:pPr>
        <w:pStyle w:val="TextBody"/>
        <w:bidi w:val="0"/>
        <w:spacing w:before="120" w:after="0"/>
        <w:jc w:val="left"/>
        <w:rPr>
          <w:rFonts w:ascii="Times New Roman" w:hAnsi="Times New Roman"/>
          <w:sz w:val="20"/>
        </w:rPr>
      </w:pPr>
      <w:r>
        <w:rPr>
          <w:rFonts w:ascii="Times New Roman" w:hAnsi="Times New Roman"/>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Phone: +852-3157-1669 </w:t>
      </w:r>
    </w:p>
    <w:p>
      <w:pPr>
        <w:pStyle w:val="TextBody"/>
        <w:bidi w:val="0"/>
        <w:spacing w:before="0" w:after="0"/>
        <w:jc w:val="left"/>
        <w:rPr>
          <w:rFonts w:ascii="Times New Roman" w:hAnsi="Times New Roman"/>
          <w:sz w:val="20"/>
        </w:rPr>
      </w:pPr>
      <w:r>
        <w:rPr>
          <w:rFonts w:ascii="Times New Roman" w:hAnsi="Times New Roman"/>
          <w:sz w:val="20"/>
        </w:rPr>
        <w:t xml:space="preserve">Email: ir@hellogroup.com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Christensen </w:t>
      </w:r>
    </w:p>
    <w:p>
      <w:pPr>
        <w:pStyle w:val="TextBody"/>
        <w:bidi w:val="0"/>
        <w:spacing w:before="120" w:after="0"/>
        <w:jc w:val="left"/>
        <w:rPr>
          <w:rFonts w:ascii="Times New Roman" w:hAnsi="Times New Roman"/>
          <w:sz w:val="20"/>
        </w:rPr>
      </w:pPr>
      <w:r>
        <w:rPr>
          <w:rFonts w:ascii="Times New Roman" w:hAnsi="Times New Roman"/>
          <w:sz w:val="20"/>
        </w:rPr>
        <w:t xml:space="preserve">In China </w:t>
      </w:r>
    </w:p>
    <w:p>
      <w:pPr>
        <w:pStyle w:val="TextBody"/>
        <w:bidi w:val="0"/>
        <w:spacing w:before="0" w:after="0"/>
        <w:jc w:val="left"/>
        <w:rPr>
          <w:rFonts w:ascii="Times New Roman" w:hAnsi="Times New Roman"/>
          <w:sz w:val="20"/>
        </w:rPr>
      </w:pPr>
      <w:r>
        <w:rPr>
          <w:rFonts w:ascii="Times New Roman" w:hAnsi="Times New Roman"/>
          <w:sz w:val="20"/>
        </w:rPr>
        <w:t xml:space="preserve">Ms. Xiaoyan Su </w:t>
      </w:r>
    </w:p>
    <w:p>
      <w:pPr>
        <w:pStyle w:val="TextBody"/>
        <w:bidi w:val="0"/>
        <w:spacing w:before="0" w:after="0"/>
        <w:jc w:val="left"/>
        <w:rPr>
          <w:rFonts w:ascii="Times New Roman" w:hAnsi="Times New Roman"/>
          <w:sz w:val="20"/>
        </w:rPr>
      </w:pPr>
      <w:r>
        <w:rPr>
          <w:rFonts w:ascii="Times New Roman" w:hAnsi="Times New Roman"/>
          <w:sz w:val="20"/>
        </w:rPr>
        <w:t xml:space="preserve">Phone: +86-10-5900-1548 </w:t>
      </w:r>
    </w:p>
    <w:p>
      <w:pPr>
        <w:pStyle w:val="TextBody"/>
        <w:bidi w:val="0"/>
        <w:spacing w:before="0" w:after="0"/>
        <w:jc w:val="left"/>
        <w:rPr>
          <w:rFonts w:ascii="Times New Roman" w:hAnsi="Times New Roman"/>
          <w:sz w:val="20"/>
        </w:rPr>
      </w:pPr>
      <w:r>
        <w:rPr>
          <w:rFonts w:ascii="Times New Roman" w:hAnsi="Times New Roman"/>
          <w:sz w:val="20"/>
        </w:rPr>
        <w:t xml:space="preserve">E-mail: Xiaoyan.Su@christensencomms.com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news release contains “forward-looking” statements within the meaning of Section 27A of the Securities Act of 1933, as amended, and Section 21E of the Securities Exchange Act of 1934, as amended, and as defined in the Private Securities Litigation Reform Act of 1995. These forward-looking statements include but are not limited to our management quotes, our financial outlook for the third quarter of 2026, as well as the amount of, timing, methods and funding sources for repurchases of our shares under the share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Our forward-looking statements are not historical facts but instead represent only our belief regarding expected results and events, many of which, by their nature, are inherently uncertain and outside of our control. Our actual results and other circumstances may differ, possibly materially, from the anticipated results and events indicated in these forward-looking statements. Announced results for the second quarter of 2026 are preliminary, unaudited and subject to audit adjustment. In addition, we may not meet our financial outlook for the third quarter of 2026 and may be unable to grow our business in the manner planned. We may also modify our strategy for growth. Moreover, there are other risks and uncertainties that could cause our actual results to differ from what we currently anticipate, including those relating to our ability to retain and grow our user base, our ability to attract and retain sufficiently trained professionals to support our operations, our ability to anticipate and develop new services and enhance existing services to meet the demand of our users or customers, the market price of the Company’s stock prevailing from time to time, the nature of other investment opportunities presented to the Company from time to time, the Company’s cash flows from operations, general economic conditions, and other factors. For additional information on these and other important factors that could adversely affect our business, financial condition, results of operations, and prospects, please see our filings with the U.S.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All information provided in this press release and in the attachments is as of the date of the press release. We undertake no obligation to update any forward-looking statement, whether as a result of new information, future events or otherwise, after the date of this release, except as required by law. Such information speaks only as of the date of this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Hello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Condensed Consolidated Statement of Operations </w:t>
      </w:r>
    </w:p>
    <w:p>
      <w:pPr>
        <w:pStyle w:val="TextBody"/>
        <w:bidi w:val="0"/>
        <w:spacing w:before="0" w:after="0"/>
        <w:jc w:val="center"/>
        <w:rPr>
          <w:rFonts w:ascii="Times New Roman" w:hAnsi="Times New Roman"/>
          <w:sz w:val="20"/>
        </w:rPr>
      </w:pPr>
      <w:r>
        <w:rPr>
          <w:rFonts w:ascii="Times New Roman" w:hAnsi="Times New Roman"/>
          <w:sz w:val="20"/>
        </w:rPr>
        <w:t xml:space="preserve">(All amounts in thousands, except share and per share data) </w:t>
      </w:r>
    </w:p>
    <w:p>
      <w:pPr>
        <w:pStyle w:val="TextBody"/>
        <w:bidi w:val="0"/>
        <w:spacing w:before="0" w:after="0"/>
        <w:jc w:val="left"/>
        <w:rPr/>
      </w:pPr>
      <w:r>
        <w:rPr/>
        <w:t> </w:t>
      </w:r>
    </w:p>
    <w:tbl>
      <w:tblPr>
        <w:tblW w:w="10340" w:type="dxa"/>
        <w:jc w:val="center"/>
        <w:tblInd w:w="0" w:type="dxa"/>
        <w:tblLayout w:type="fixed"/>
        <w:tblCellMar>
          <w:top w:w="0" w:type="dxa"/>
          <w:left w:w="0" w:type="dxa"/>
          <w:bottom w:w="0" w:type="dxa"/>
          <w:right w:w="0" w:type="dxa"/>
        </w:tblCellMar>
      </w:tblPr>
      <w:tblGrid>
        <w:gridCol w:w="1310"/>
        <w:gridCol w:w="120"/>
        <w:gridCol w:w="60"/>
        <w:gridCol w:w="1220"/>
        <w:gridCol w:w="155"/>
        <w:gridCol w:w="60"/>
        <w:gridCol w:w="60"/>
        <w:gridCol w:w="1220"/>
        <w:gridCol w:w="155"/>
        <w:gridCol w:w="60"/>
        <w:gridCol w:w="60"/>
        <w:gridCol w:w="1220"/>
        <w:gridCol w:w="155"/>
        <w:gridCol w:w="60"/>
        <w:gridCol w:w="60"/>
        <w:gridCol w:w="1220"/>
        <w:gridCol w:w="155"/>
        <w:gridCol w:w="60"/>
        <w:gridCol w:w="60"/>
        <w:gridCol w:w="1220"/>
        <w:gridCol w:w="155"/>
        <w:gridCol w:w="60"/>
        <w:gridCol w:w="60"/>
        <w:gridCol w:w="1220"/>
        <w:gridCol w:w="155"/>
      </w:tblGrid>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270" w:type="dxa"/>
            <w:gridSpan w:val="10"/>
            <w:tcBorders>
              <w:bottom w:val="single" w:sz="8" w:space="0" w:color="000000"/>
            </w:tcBorders>
            <w:tcMar>
              <w:bottom w:w="28" w:type="dxa"/>
            </w:tcMar>
            <w:vAlign w:val="bottom"/>
          </w:tcPr>
          <w:p>
            <w:pPr>
              <w:pStyle w:val="TableContents"/>
              <w:bidi w:val="0"/>
              <w:spacing w:before="0" w:after="283"/>
              <w:jc w:val="center"/>
              <w:rPr/>
            </w:pPr>
            <w:r>
              <w:rPr/>
              <w:t>Three months</w:t>
              <w:br/>
              <w:t>Ended June 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70" w:type="dxa"/>
            <w:gridSpan w:val="10"/>
            <w:tcBorders>
              <w:bottom w:val="single" w:sz="8" w:space="0" w:color="000000"/>
            </w:tcBorders>
            <w:tcMar>
              <w:bottom w:w="28" w:type="dxa"/>
            </w:tcMar>
            <w:vAlign w:val="bottom"/>
          </w:tcPr>
          <w:p>
            <w:pPr>
              <w:pStyle w:val="TableContents"/>
              <w:bidi w:val="0"/>
              <w:spacing w:before="0" w:after="283"/>
              <w:jc w:val="center"/>
              <w:rPr/>
            </w:pPr>
            <w:r>
              <w:rPr/>
              <w:t>First half year</w:t>
              <w:br/>
              <w:t>Ended June 30</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t>2025</w:t>
              <w:b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t>2026</w:t>
              <w:b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t>2026</w:t>
              <w:b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t>2025</w:t>
              <w:b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t>2026</w:t>
              <w:b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t>2026</w:t>
              <w:br/>
              <w:t>US$</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revenues(i):</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Value-added service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2,579,292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2,439,625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359,556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5,069,194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4,793,274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706,442</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services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41,076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46,352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6,832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72,009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78,679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11,595</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net revenues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2,620,368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2,485,977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366,388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5,141,203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4,871,953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718,037</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and expenses: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(1,607,712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(1,599,304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(235,708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(3,176,786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(3,062,632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(451,376</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(183,859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(182,949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(26,963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(379,628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(360,055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(53,066</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(347,327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(388,038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(57,190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(676,505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(731,279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(107,777</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(88,839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(90,036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(13,270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(229,350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(195,084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(28,752</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cost and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(2,227,737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(2,260,327</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(333,131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(4,462,269</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(4,349,050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(640,971</w:t>
            </w:r>
          </w:p>
        </w:tc>
        <w:tc>
          <w:tcPr>
            <w:tcW w:w="155" w:type="dxa"/>
            <w:tcBorders/>
            <w:vAlign w:val="bottom"/>
          </w:tcPr>
          <w:p>
            <w:pPr>
              <w:pStyle w:val="TableContents"/>
              <w:bidi w:val="0"/>
              <w:spacing w:before="0" w:after="283"/>
              <w:jc w:val="left"/>
              <w:rPr>
                <w:b/>
              </w:rPr>
            </w:pPr>
            <w:r>
              <w:rPr>
                <w:b/>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 net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10,865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12,350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1,820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24,047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24,840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3,661</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from operations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403,496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238,000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35,077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702,981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547,743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80,727</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105,513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53,568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7,895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225,851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107,585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15,856</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(23,417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(54,076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gain or loss, net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(25,087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(3,697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(25,982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(3,829</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before income tax and share of income on equity method investments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485,552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266,452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39,271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874,716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629,265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92,742</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(638,390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(69,568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(10,253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(708,796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(149,418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(22,021</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income before share of income on equity method investments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(152,838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196,884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29,018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165,920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479,847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70,721</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of income on equity method investments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13,427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41,479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6,113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53,158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50,017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7,372</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income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(139,411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238,363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35,131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219,078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529,864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78,093</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1,381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204</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income attributable to the shareholders of Hello Group Inc.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(140,204</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237,435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34,994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217,790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528,483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b/>
              </w:rPr>
            </w:pPr>
            <w:r>
              <w:rPr>
                <w:b/>
              </w:rPr>
              <w:t>77,889</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income per share attributable to ordinary shareholders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0.25</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0.25</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calculating net (loss) income per ordinary share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332,986,414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308,522,125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308,522,125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335,653,491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311,726,989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311,726,989</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332,986,414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313,093,175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313,093,175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341,743,527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316,994,251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316,994,251</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table presents revenues by geographic area based on the addresses of our users: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44"/>
        <w:gridCol w:w="132"/>
        <w:gridCol w:w="60"/>
        <w:gridCol w:w="982"/>
        <w:gridCol w:w="60"/>
        <w:gridCol w:w="132"/>
        <w:gridCol w:w="60"/>
        <w:gridCol w:w="982"/>
        <w:gridCol w:w="60"/>
        <w:gridCol w:w="132"/>
        <w:gridCol w:w="60"/>
        <w:gridCol w:w="806"/>
        <w:gridCol w:w="60"/>
        <w:gridCol w:w="132"/>
        <w:gridCol w:w="60"/>
        <w:gridCol w:w="981"/>
        <w:gridCol w:w="60"/>
        <w:gridCol w:w="132"/>
        <w:gridCol w:w="60"/>
        <w:gridCol w:w="982"/>
        <w:gridCol w:w="60"/>
        <w:gridCol w:w="132"/>
        <w:gridCol w:w="60"/>
        <w:gridCol w:w="806"/>
        <w:gridCol w:w="70"/>
      </w:tblGrid>
      <w:tr>
        <w:trPr/>
        <w:tc>
          <w:tcPr>
            <w:tcW w:w="3144"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14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3334" w:type="dxa"/>
            <w:gridSpan w:val="10"/>
            <w:tcBorders>
              <w:bottom w:val="single" w:sz="8" w:space="0" w:color="000000"/>
            </w:tcBorders>
            <w:tcMar>
              <w:bottom w:w="28" w:type="dxa"/>
            </w:tcMar>
            <w:vAlign w:val="bottom"/>
          </w:tcPr>
          <w:p>
            <w:pPr>
              <w:pStyle w:val="TableContents"/>
              <w:bidi w:val="0"/>
              <w:spacing w:before="0" w:after="283"/>
              <w:jc w:val="center"/>
              <w:rPr/>
            </w:pPr>
            <w:r>
              <w:rPr/>
              <w:t>Three months</w:t>
              <w:br/>
              <w:t>Ended June 30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3333" w:type="dxa"/>
            <w:gridSpan w:val="10"/>
            <w:tcBorders>
              <w:bottom w:val="single" w:sz="8" w:space="0" w:color="000000"/>
            </w:tcBorders>
            <w:tcMar>
              <w:bottom w:w="28" w:type="dxa"/>
            </w:tcMar>
            <w:vAlign w:val="bottom"/>
          </w:tcPr>
          <w:p>
            <w:pPr>
              <w:pStyle w:val="TableContents"/>
              <w:bidi w:val="0"/>
              <w:spacing w:before="0" w:after="283"/>
              <w:jc w:val="center"/>
              <w:rPr/>
            </w:pPr>
            <w:r>
              <w:rPr/>
              <w:t>First half year</w:t>
              <w:br/>
              <w:t>Ended June 30</w:t>
            </w:r>
          </w:p>
        </w:tc>
        <w:tc>
          <w:tcPr>
            <w:tcW w:w="70" w:type="dxa"/>
            <w:tcBorders/>
            <w:vAlign w:val="bottom"/>
          </w:tcPr>
          <w:p>
            <w:pPr>
              <w:pStyle w:val="TableContents"/>
              <w:bidi w:val="0"/>
              <w:spacing w:before="0" w:after="283"/>
              <w:jc w:val="left"/>
              <w:rPr/>
            </w:pPr>
            <w:r>
              <w:rPr/>
              <w:t> </w:t>
            </w:r>
          </w:p>
        </w:tc>
      </w:tr>
      <w:tr>
        <w:trPr/>
        <w:tc>
          <w:tcPr>
            <w:tcW w:w="314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bottom"/>
          </w:tcPr>
          <w:p>
            <w:pPr>
              <w:pStyle w:val="TableContents"/>
              <w:bidi w:val="0"/>
              <w:spacing w:before="0" w:after="283"/>
              <w:jc w:val="center"/>
              <w:rPr/>
            </w:pPr>
            <w:r>
              <w:rPr/>
              <w:t>2025</w:t>
              <w:br/>
              <w:t>RMB</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bottom"/>
          </w:tcPr>
          <w:p>
            <w:pPr>
              <w:pStyle w:val="TableContents"/>
              <w:bidi w:val="0"/>
              <w:spacing w:before="0" w:after="283"/>
              <w:jc w:val="center"/>
              <w:rPr/>
            </w:pPr>
            <w:r>
              <w:rPr/>
              <w:t>2026</w:t>
              <w:br/>
              <w:t>RMB</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pPr>
            <w:r>
              <w:rPr/>
              <w:t>2026</w:t>
              <w:br/>
              <w:t>US$</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bottom"/>
          </w:tcPr>
          <w:p>
            <w:pPr>
              <w:pStyle w:val="TableContents"/>
              <w:bidi w:val="0"/>
              <w:spacing w:before="0" w:after="283"/>
              <w:jc w:val="center"/>
              <w:rPr/>
            </w:pPr>
            <w:r>
              <w:rPr/>
              <w:t>2025</w:t>
              <w:br/>
              <w:t>RMB</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bottom"/>
          </w:tcPr>
          <w:p>
            <w:pPr>
              <w:pStyle w:val="TableContents"/>
              <w:bidi w:val="0"/>
              <w:spacing w:before="0" w:after="283"/>
              <w:jc w:val="center"/>
              <w:rPr/>
            </w:pPr>
            <w:r>
              <w:rPr/>
              <w:t>2026</w:t>
              <w:br/>
              <w:t>RMB</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pPr>
            <w:r>
              <w:rPr/>
              <w:t>2026</w:t>
              <w:br/>
              <w:t>US$</w:t>
            </w:r>
          </w:p>
        </w:tc>
        <w:tc>
          <w:tcPr>
            <w:tcW w:w="70" w:type="dxa"/>
            <w:tcBorders/>
            <w:vAlign w:val="bottom"/>
          </w:tcPr>
          <w:p>
            <w:pPr>
              <w:pStyle w:val="TableContents"/>
              <w:bidi w:val="0"/>
              <w:spacing w:before="0" w:after="283"/>
              <w:jc w:val="left"/>
              <w:rPr/>
            </w:pPr>
            <w:r>
              <w:rPr/>
              <w:t> </w:t>
            </w:r>
          </w:p>
        </w:tc>
      </w:tr>
      <w:tr>
        <w:trPr/>
        <w:tc>
          <w:tcPr>
            <w:tcW w:w="31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Chinese mainland</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2,177,929</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1,813,297</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267,247</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4,284,162</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3,601,865</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530,850</w:t>
            </w:r>
          </w:p>
        </w:tc>
        <w:tc>
          <w:tcPr>
            <w:tcW w:w="70" w:type="dxa"/>
            <w:tcBorders/>
            <w:shd w:fill="CCEEFF" w:val="clear"/>
            <w:vAlign w:val="bottom"/>
          </w:tcPr>
          <w:p>
            <w:pPr>
              <w:pStyle w:val="TableContents"/>
              <w:bidi w:val="0"/>
              <w:spacing w:before="0" w:after="283"/>
              <w:jc w:val="left"/>
              <w:rPr/>
            </w:pPr>
            <w:r>
              <w:rPr/>
              <w:t> </w:t>
            </w:r>
          </w:p>
        </w:tc>
      </w:tr>
      <w:tr>
        <w:trPr/>
        <w:tc>
          <w:tcPr>
            <w:tcW w:w="3144" w:type="dxa"/>
            <w:tcBorders/>
          </w:tcPr>
          <w:p>
            <w:pPr>
              <w:pStyle w:val="TableContents"/>
              <w:bidi w:val="0"/>
              <w:spacing w:before="0" w:after="0"/>
              <w:jc w:val="left"/>
              <w:rPr>
                <w:rFonts w:ascii="Times New Roman" w:hAnsi="Times New Roman"/>
                <w:sz w:val="20"/>
              </w:rPr>
            </w:pPr>
            <w:r>
              <w:rPr>
                <w:rFonts w:ascii="Times New Roman" w:hAnsi="Times New Roman"/>
                <w:sz w:val="20"/>
              </w:rPr>
              <w:t>Overseas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442,439</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672,680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99,141</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857,041</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1,270,088</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187,187</w:t>
            </w:r>
          </w:p>
        </w:tc>
        <w:tc>
          <w:tcPr>
            <w:tcW w:w="70" w:type="dxa"/>
            <w:tcBorders/>
            <w:vAlign w:val="bottom"/>
          </w:tcPr>
          <w:p>
            <w:pPr>
              <w:pStyle w:val="TableContents"/>
              <w:bidi w:val="0"/>
              <w:spacing w:before="0" w:after="283"/>
              <w:jc w:val="left"/>
              <w:rPr/>
            </w:pPr>
            <w:r>
              <w:rPr/>
              <w:t> </w:t>
            </w:r>
          </w:p>
        </w:tc>
      </w:tr>
      <w:tr>
        <w:trPr/>
        <w:tc>
          <w:tcPr>
            <w:tcW w:w="3144"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14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b/>
              </w:rPr>
            </w:pPr>
            <w:r>
              <w:rPr>
                <w:b/>
              </w:rPr>
              <w:t>2,620,368</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b/>
              </w:rPr>
            </w:pPr>
            <w:r>
              <w:rPr>
                <w:b/>
              </w:rPr>
              <w:t>2,485,977</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b/>
              </w:rPr>
            </w:pPr>
            <w:r>
              <w:rPr>
                <w:b/>
              </w:rPr>
              <w:t>366,388</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b/>
              </w:rPr>
            </w:pPr>
            <w:r>
              <w:rPr>
                <w:b/>
              </w:rPr>
              <w:t>5,141,203</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b/>
              </w:rPr>
            </w:pPr>
            <w:r>
              <w:rPr>
                <w:b/>
              </w:rPr>
              <w:t>4,871,953</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b/>
              </w:rPr>
            </w:pPr>
            <w:r>
              <w:rPr>
                <w:b/>
              </w:rPr>
              <w:t>718,037</w:t>
            </w:r>
          </w:p>
        </w:tc>
        <w:tc>
          <w:tcPr>
            <w:tcW w:w="70" w:type="dxa"/>
            <w:tcBorders/>
            <w:shd w:fill="CCEEFF" w:val="clear"/>
            <w:vAlign w:val="bottom"/>
          </w:tcPr>
          <w:p>
            <w:pPr>
              <w:pStyle w:val="TableContents"/>
              <w:bidi w:val="0"/>
              <w:spacing w:before="0" w:after="283"/>
              <w:jc w:val="left"/>
              <w:rPr/>
            </w:pPr>
            <w:r>
              <w:rPr/>
              <w:t> </w:t>
            </w:r>
          </w:p>
        </w:tc>
      </w:tr>
      <w:tr>
        <w:trPr/>
        <w:tc>
          <w:tcPr>
            <w:tcW w:w="3144"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Hello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Condensed Consolidated Statement of Comprehensive Income </w:t>
      </w:r>
    </w:p>
    <w:p>
      <w:pPr>
        <w:pStyle w:val="TextBody"/>
        <w:bidi w:val="0"/>
        <w:spacing w:before="0" w:after="0"/>
        <w:jc w:val="center"/>
        <w:rPr>
          <w:rFonts w:ascii="Times New Roman" w:hAnsi="Times New Roman"/>
          <w:sz w:val="20"/>
        </w:rPr>
      </w:pPr>
      <w:r>
        <w:rPr>
          <w:rFonts w:ascii="Times New Roman" w:hAnsi="Times New Roman"/>
          <w:sz w:val="20"/>
        </w:rPr>
        <w:t xml:space="preserve">(All amounts 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18"/>
        <w:gridCol w:w="135"/>
        <w:gridCol w:w="60"/>
        <w:gridCol w:w="891"/>
        <w:gridCol w:w="155"/>
        <w:gridCol w:w="88"/>
        <w:gridCol w:w="60"/>
        <w:gridCol w:w="832"/>
        <w:gridCol w:w="155"/>
        <w:gridCol w:w="88"/>
        <w:gridCol w:w="60"/>
        <w:gridCol w:w="756"/>
        <w:gridCol w:w="155"/>
        <w:gridCol w:w="88"/>
        <w:gridCol w:w="59"/>
        <w:gridCol w:w="891"/>
        <w:gridCol w:w="155"/>
        <w:gridCol w:w="88"/>
        <w:gridCol w:w="60"/>
        <w:gridCol w:w="891"/>
        <w:gridCol w:w="155"/>
        <w:gridCol w:w="88"/>
        <w:gridCol w:w="60"/>
        <w:gridCol w:w="756"/>
        <w:gridCol w:w="161"/>
      </w:tblGrid>
      <w:tr>
        <w:trPr/>
        <w:tc>
          <w:tcPr>
            <w:tcW w:w="3318"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1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3145" w:type="dxa"/>
            <w:gridSpan w:val="10"/>
            <w:tcBorders>
              <w:bottom w:val="single" w:sz="8" w:space="0" w:color="000000"/>
            </w:tcBorders>
            <w:tcMar>
              <w:bottom w:w="28" w:type="dxa"/>
            </w:tcMar>
            <w:vAlign w:val="bottom"/>
          </w:tcPr>
          <w:p>
            <w:pPr>
              <w:pStyle w:val="TableContents"/>
              <w:bidi w:val="0"/>
              <w:spacing w:before="0" w:after="283"/>
              <w:jc w:val="center"/>
              <w:rPr/>
            </w:pPr>
            <w:r>
              <w:rPr/>
              <w:t>Three months</w:t>
              <w:br/>
              <w:t>Ended June 30</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3203" w:type="dxa"/>
            <w:gridSpan w:val="10"/>
            <w:tcBorders>
              <w:bottom w:val="single" w:sz="8" w:space="0" w:color="000000"/>
            </w:tcBorders>
            <w:tcMar>
              <w:bottom w:w="28" w:type="dxa"/>
            </w:tcMar>
            <w:vAlign w:val="bottom"/>
          </w:tcPr>
          <w:p>
            <w:pPr>
              <w:pStyle w:val="TableContents"/>
              <w:bidi w:val="0"/>
              <w:spacing w:before="0" w:after="283"/>
              <w:jc w:val="center"/>
              <w:rPr/>
            </w:pPr>
            <w:r>
              <w:rPr/>
              <w:t>First half year</w:t>
              <w:br/>
              <w:t>Ended June 30</w:t>
            </w:r>
          </w:p>
        </w:tc>
        <w:tc>
          <w:tcPr>
            <w:tcW w:w="161" w:type="dxa"/>
            <w:tcBorders/>
            <w:vAlign w:val="bottom"/>
          </w:tcPr>
          <w:p>
            <w:pPr>
              <w:pStyle w:val="TableContents"/>
              <w:bidi w:val="0"/>
              <w:spacing w:before="0" w:after="283"/>
              <w:jc w:val="left"/>
              <w:rPr/>
            </w:pPr>
            <w:r>
              <w:rPr/>
              <w:t> </w:t>
            </w:r>
          </w:p>
        </w:tc>
      </w:tr>
      <w:tr>
        <w:trPr/>
        <w:tc>
          <w:tcPr>
            <w:tcW w:w="331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pPr>
            <w:r>
              <w:rPr/>
              <w:t>2025</w:t>
              <w:br/>
              <w:t>RMB</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pPr>
            <w:r>
              <w:rPr/>
              <w:t>2026</w:t>
              <w:br/>
              <w:t>RMB</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pPr>
            <w:r>
              <w:rPr/>
              <w:t>2026</w:t>
              <w:br/>
              <w:t>US$</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pPr>
            <w:r>
              <w:rPr/>
              <w:t>2025</w:t>
              <w:br/>
              <w:t>RMB</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pPr>
            <w:r>
              <w:rPr/>
              <w:t>2026</w:t>
              <w:br/>
              <w:t>RMB</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pPr>
            <w:r>
              <w:rPr/>
              <w:t>2026</w:t>
              <w:br/>
              <w:t>US$</w:t>
            </w:r>
          </w:p>
        </w:tc>
        <w:tc>
          <w:tcPr>
            <w:tcW w:w="161" w:type="dxa"/>
            <w:tcBorders/>
            <w:vAlign w:val="bottom"/>
          </w:tcPr>
          <w:p>
            <w:pPr>
              <w:pStyle w:val="TableContents"/>
              <w:bidi w:val="0"/>
              <w:spacing w:before="0" w:after="283"/>
              <w:jc w:val="left"/>
              <w:rPr/>
            </w:pPr>
            <w:r>
              <w:rPr/>
              <w:t> </w:t>
            </w:r>
          </w:p>
        </w:tc>
      </w:tr>
      <w:tr>
        <w:trPr/>
        <w:tc>
          <w:tcPr>
            <w:tcW w:w="33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income</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b/>
              </w:rPr>
            </w:pPr>
            <w:r>
              <w:rPr>
                <w:b/>
              </w:rPr>
              <w:t>(139,411</w:t>
            </w:r>
          </w:p>
        </w:tc>
        <w:tc>
          <w:tcPr>
            <w:tcW w:w="155" w:type="dxa"/>
            <w:tcBorders/>
            <w:shd w:fill="CCEEFF" w:val="clear"/>
            <w:vAlign w:val="bottom"/>
          </w:tcPr>
          <w:p>
            <w:pPr>
              <w:pStyle w:val="TableContents"/>
              <w:bidi w:val="0"/>
              <w:spacing w:before="0" w:after="283"/>
              <w:jc w:val="left"/>
              <w:rPr>
                <w:b/>
              </w:rPr>
            </w:pPr>
            <w:r>
              <w:rPr>
                <w:b/>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b/>
              </w:rPr>
            </w:pPr>
            <w:r>
              <w:rPr>
                <w:b/>
              </w:rPr>
              <w:t>238,363</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b/>
              </w:rPr>
            </w:pPr>
            <w:r>
              <w:rPr>
                <w:b/>
              </w:rPr>
              <w:t>35,131</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b/>
              </w:rPr>
            </w:pPr>
            <w:r>
              <w:rPr>
                <w:b/>
              </w:rPr>
              <w:t>219,078</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b/>
              </w:rPr>
            </w:pPr>
            <w:r>
              <w:rPr>
                <w:b/>
              </w:rPr>
              <w:t>529,864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b/>
              </w:rPr>
            </w:pPr>
            <w:r>
              <w:rPr>
                <w:b/>
              </w:rPr>
              <w:t>78,093</w:t>
            </w:r>
          </w:p>
        </w:tc>
        <w:tc>
          <w:tcPr>
            <w:tcW w:w="161" w:type="dxa"/>
            <w:tcBorders/>
            <w:shd w:fill="CCEEFF" w:val="clear"/>
            <w:vAlign w:val="bottom"/>
          </w:tcPr>
          <w:p>
            <w:pPr>
              <w:pStyle w:val="TableContents"/>
              <w:bidi w:val="0"/>
              <w:spacing w:before="0" w:after="283"/>
              <w:jc w:val="left"/>
              <w:rPr/>
            </w:pPr>
            <w:r>
              <w:rPr/>
              <w:t> </w:t>
            </w:r>
          </w:p>
        </w:tc>
      </w:tr>
      <w:tr>
        <w:trPr/>
        <w:tc>
          <w:tcPr>
            <w:tcW w:w="3318"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 net of tax:</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6"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(73,476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(76,282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(11,243</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(116,814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(150,577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(22,192</w:t>
            </w:r>
          </w:p>
        </w:tc>
        <w:tc>
          <w:tcPr>
            <w:tcW w:w="161" w:type="dxa"/>
            <w:tcBorders/>
            <w:shd w:fill="CCEEFF" w:val="clear"/>
            <w:vAlign w:val="bottom"/>
          </w:tcPr>
          <w:p>
            <w:pPr>
              <w:pStyle w:val="TableContents"/>
              <w:bidi w:val="0"/>
              <w:spacing w:before="0" w:after="283"/>
              <w:jc w:val="left"/>
              <w:rPr/>
            </w:pPr>
            <w:r>
              <w:rPr/>
              <w:t>) </w:t>
            </w:r>
          </w:p>
        </w:tc>
      </w:tr>
      <w:tr>
        <w:trPr/>
        <w:tc>
          <w:tcPr>
            <w:tcW w:w="331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3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Comprehensive (loss) income</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b/>
              </w:rPr>
            </w:pPr>
            <w:r>
              <w:rPr>
                <w:b/>
              </w:rPr>
              <w:t>(212,887</w:t>
            </w:r>
          </w:p>
        </w:tc>
        <w:tc>
          <w:tcPr>
            <w:tcW w:w="155" w:type="dxa"/>
            <w:tcBorders/>
            <w:vAlign w:val="bottom"/>
          </w:tcPr>
          <w:p>
            <w:pPr>
              <w:pStyle w:val="TableContents"/>
              <w:bidi w:val="0"/>
              <w:spacing w:before="0" w:after="283"/>
              <w:jc w:val="left"/>
              <w:rPr>
                <w:b/>
              </w:rPr>
            </w:pPr>
            <w:r>
              <w:rPr>
                <w:b/>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b/>
              </w:rPr>
            </w:pPr>
            <w:r>
              <w:rPr>
                <w:b/>
              </w:rPr>
              <w:t>162,081</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b/>
              </w:rPr>
            </w:pPr>
            <w:r>
              <w:rPr>
                <w:b/>
              </w:rPr>
              <w:t>23,888</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b/>
              </w:rPr>
            </w:pPr>
            <w:r>
              <w:rPr>
                <w:b/>
              </w:rPr>
              <w:t>102,264</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b/>
              </w:rPr>
            </w:pPr>
            <w:r>
              <w:rPr>
                <w:b/>
              </w:rPr>
              <w:t>379,287</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b/>
              </w:rPr>
            </w:pPr>
            <w:r>
              <w:rPr>
                <w:b/>
              </w:rPr>
              <w:t>55,901</w:t>
            </w:r>
          </w:p>
        </w:tc>
        <w:tc>
          <w:tcPr>
            <w:tcW w:w="161" w:type="dxa"/>
            <w:tcBorders/>
            <w:vAlign w:val="bottom"/>
          </w:tcPr>
          <w:p>
            <w:pPr>
              <w:pStyle w:val="TableContents"/>
              <w:bidi w:val="0"/>
              <w:spacing w:before="0" w:after="283"/>
              <w:jc w:val="left"/>
              <w:rPr/>
            </w:pPr>
            <w:r>
              <w:rPr/>
              <w:t> </w:t>
            </w:r>
          </w:p>
        </w:tc>
      </w:tr>
      <w:tr>
        <w:trPr/>
        <w:tc>
          <w:tcPr>
            <w:tcW w:w="3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comprehensive loss attributed to the non-controlling interest</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(920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(2,916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(430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(1,519</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(5,616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(828</w:t>
            </w:r>
          </w:p>
        </w:tc>
        <w:tc>
          <w:tcPr>
            <w:tcW w:w="161" w:type="dxa"/>
            <w:tcBorders/>
            <w:shd w:fill="CCEEFF" w:val="clear"/>
            <w:vAlign w:val="bottom"/>
          </w:tcPr>
          <w:p>
            <w:pPr>
              <w:pStyle w:val="TableContents"/>
              <w:bidi w:val="0"/>
              <w:spacing w:before="0" w:after="283"/>
              <w:jc w:val="left"/>
              <w:rPr/>
            </w:pPr>
            <w:r>
              <w:rPr/>
              <w:t>) </w:t>
            </w:r>
          </w:p>
        </w:tc>
      </w:tr>
      <w:tr>
        <w:trPr/>
        <w:tc>
          <w:tcPr>
            <w:tcW w:w="331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3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Comprehensive (loss) income attributable to the shareholders of Hello Group Inc.</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b/>
              </w:rPr>
            </w:pPr>
            <w:r>
              <w:rPr>
                <w:b/>
              </w:rPr>
              <w:t>(211,967</w:t>
            </w:r>
          </w:p>
        </w:tc>
        <w:tc>
          <w:tcPr>
            <w:tcW w:w="155" w:type="dxa"/>
            <w:tcBorders/>
            <w:vAlign w:val="bottom"/>
          </w:tcPr>
          <w:p>
            <w:pPr>
              <w:pStyle w:val="TableContents"/>
              <w:bidi w:val="0"/>
              <w:spacing w:before="0" w:after="283"/>
              <w:jc w:val="left"/>
              <w:rPr>
                <w:b/>
              </w:rPr>
            </w:pPr>
            <w:r>
              <w:rPr>
                <w:b/>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b/>
              </w:rPr>
            </w:pPr>
            <w:r>
              <w:rPr>
                <w:b/>
              </w:rPr>
              <w:t>164,997</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b/>
              </w:rPr>
            </w:pPr>
            <w:r>
              <w:rPr>
                <w:b/>
              </w:rPr>
              <w:t>24,318</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b/>
              </w:rPr>
            </w:pPr>
            <w:r>
              <w:rPr>
                <w:b/>
              </w:rPr>
              <w:t>103,783</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b/>
              </w:rPr>
            </w:pPr>
            <w:r>
              <w:rPr>
                <w:b/>
              </w:rPr>
              <w:t>384,903</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b/>
              </w:rPr>
            </w:pPr>
            <w:r>
              <w:rPr>
                <w:b/>
              </w:rPr>
              <w:t>56,729</w:t>
            </w:r>
          </w:p>
        </w:tc>
        <w:tc>
          <w:tcPr>
            <w:tcW w:w="161" w:type="dxa"/>
            <w:tcBorders/>
            <w:vAlign w:val="bottom"/>
          </w:tcPr>
          <w:p>
            <w:pPr>
              <w:pStyle w:val="TableContents"/>
              <w:bidi w:val="0"/>
              <w:spacing w:before="0" w:after="283"/>
              <w:jc w:val="left"/>
              <w:rPr/>
            </w:pPr>
            <w:r>
              <w:rPr/>
              <w:t> </w:t>
            </w:r>
          </w:p>
        </w:tc>
      </w:tr>
      <w:tr>
        <w:trPr/>
        <w:tc>
          <w:tcPr>
            <w:tcW w:w="331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Hello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Condensed Consolidated Balance Sheets </w:t>
      </w:r>
    </w:p>
    <w:p>
      <w:pPr>
        <w:pStyle w:val="TextBody"/>
        <w:bidi w:val="0"/>
        <w:spacing w:before="0" w:after="0"/>
        <w:jc w:val="center"/>
        <w:rPr>
          <w:rFonts w:ascii="Times New Roman" w:hAnsi="Times New Roman"/>
          <w:sz w:val="20"/>
        </w:rPr>
      </w:pPr>
      <w:r>
        <w:rPr>
          <w:rFonts w:ascii="Times New Roman" w:hAnsi="Times New Roman"/>
          <w:sz w:val="20"/>
        </w:rPr>
        <w:t xml:space="preserve">(All amounts 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95"/>
        <w:gridCol w:w="144"/>
        <w:gridCol w:w="66"/>
        <w:gridCol w:w="1262"/>
        <w:gridCol w:w="60"/>
        <w:gridCol w:w="144"/>
        <w:gridCol w:w="60"/>
        <w:gridCol w:w="1112"/>
        <w:gridCol w:w="60"/>
        <w:gridCol w:w="144"/>
        <w:gridCol w:w="60"/>
        <w:gridCol w:w="1034"/>
        <w:gridCol w:w="64"/>
      </w:tblGrid>
      <w:tr>
        <w:trPr/>
        <w:tc>
          <w:tcPr>
            <w:tcW w:w="599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99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28" w:type="dxa"/>
            <w:gridSpan w:val="2"/>
            <w:tcBorders/>
            <w:vAlign w:val="bottom"/>
          </w:tcPr>
          <w:p>
            <w:pPr>
              <w:pStyle w:val="TableContents"/>
              <w:bidi w:val="0"/>
              <w:spacing w:before="0" w:after="283"/>
              <w:jc w:val="center"/>
              <w:rPr/>
            </w:pPr>
            <w:r>
              <w:rPr/>
              <w:t>December 31</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bidi w:val="0"/>
              <w:spacing w:before="0" w:after="283"/>
              <w:jc w:val="center"/>
              <w:rPr/>
            </w:pPr>
            <w:r>
              <w:rPr/>
              <w:t>June 30</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94" w:type="dxa"/>
            <w:gridSpan w:val="2"/>
            <w:tcBorders/>
            <w:vAlign w:val="bottom"/>
          </w:tcPr>
          <w:p>
            <w:pPr>
              <w:pStyle w:val="TableContents"/>
              <w:bidi w:val="0"/>
              <w:spacing w:before="0" w:after="283"/>
              <w:jc w:val="center"/>
              <w:rPr/>
            </w:pPr>
            <w:r>
              <w:rPr/>
              <w:t>June 30</w:t>
            </w:r>
          </w:p>
        </w:tc>
        <w:tc>
          <w:tcPr>
            <w:tcW w:w="64" w:type="dxa"/>
            <w:tcBorders/>
            <w:vAlign w:val="bottom"/>
          </w:tcPr>
          <w:p>
            <w:pPr>
              <w:pStyle w:val="TableContents"/>
              <w:bidi w:val="0"/>
              <w:spacing w:before="0" w:after="283"/>
              <w:jc w:val="left"/>
              <w:rPr/>
            </w:pPr>
            <w:r>
              <w:rPr/>
              <w:t> </w:t>
            </w:r>
          </w:p>
        </w:tc>
      </w:tr>
      <w:tr>
        <w:trPr/>
        <w:tc>
          <w:tcPr>
            <w:tcW w:w="5995" w:type="dxa"/>
            <w:vMerge w:val="restart"/>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28" w:type="dxa"/>
            <w:gridSpan w:val="2"/>
            <w:tcBorders/>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bidi w:val="0"/>
              <w:spacing w:before="0" w:after="283"/>
              <w:jc w:val="center"/>
              <w:rPr/>
            </w:pPr>
            <w:r>
              <w:rPr/>
              <w:t>2026</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94" w:type="dxa"/>
            <w:gridSpan w:val="2"/>
            <w:tcBorders/>
            <w:vAlign w:val="bottom"/>
          </w:tcPr>
          <w:p>
            <w:pPr>
              <w:pStyle w:val="TableContents"/>
              <w:bidi w:val="0"/>
              <w:spacing w:before="0" w:after="283"/>
              <w:jc w:val="center"/>
              <w:rPr/>
            </w:pPr>
            <w:r>
              <w:rPr/>
              <w:t>2026</w:t>
            </w:r>
          </w:p>
        </w:tc>
        <w:tc>
          <w:tcPr>
            <w:tcW w:w="64" w:type="dxa"/>
            <w:tcBorders/>
            <w:vAlign w:val="bottom"/>
          </w:tcPr>
          <w:p>
            <w:pPr>
              <w:pStyle w:val="TableContents"/>
              <w:bidi w:val="0"/>
              <w:spacing w:before="0" w:after="283"/>
              <w:jc w:val="left"/>
              <w:rPr/>
            </w:pPr>
            <w:r>
              <w:rPr/>
              <w:t> </w:t>
            </w:r>
          </w:p>
        </w:tc>
      </w:tr>
      <w:tr>
        <w:trPr/>
        <w:tc>
          <w:tcPr>
            <w:tcW w:w="5995" w:type="dxa"/>
            <w:vMerge w:val="continue"/>
            <w:tcBorders/>
            <w:vAlign w:val="bottom"/>
          </w:tcPr>
          <w:p>
            <w:pPr>
              <w:pStyle w:val="Normal"/>
              <w:bidi w:val="0"/>
              <w:jc w:val="left"/>
              <w:rPr/>
            </w:pPr>
            <w:r>
              <w:rPr/>
            </w:r>
          </w:p>
        </w:tc>
        <w:tc>
          <w:tcPr>
            <w:tcW w:w="144" w:type="dxa"/>
            <w:tcBorders/>
            <w:vAlign w:val="bottom"/>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bottom"/>
          </w:tcPr>
          <w:p>
            <w:pPr>
              <w:pStyle w:val="TableContents"/>
              <w:bidi w:val="0"/>
              <w:spacing w:before="0" w:after="283"/>
              <w:jc w:val="center"/>
              <w:rPr/>
            </w:pPr>
            <w:r>
              <w:rPr/>
              <w:t>RMB</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pPr>
            <w:r>
              <w:rPr/>
              <w:t>RMB</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pPr>
            <w:r>
              <w:rPr/>
              <w:t>US$</w:t>
            </w:r>
          </w:p>
        </w:tc>
        <w:tc>
          <w:tcPr>
            <w:tcW w:w="64" w:type="dxa"/>
            <w:tcBorders/>
            <w:vAlign w:val="bottom"/>
          </w:tcPr>
          <w:p>
            <w:pPr>
              <w:pStyle w:val="TableContents"/>
              <w:bidi w:val="0"/>
              <w:spacing w:before="0" w:after="283"/>
              <w:jc w:val="left"/>
              <w:rPr/>
            </w:pPr>
            <w:r>
              <w:rPr/>
              <w:t> </w:t>
            </w:r>
          </w:p>
        </w:tc>
      </w:tr>
      <w:tr>
        <w:trPr/>
        <w:tc>
          <w:tcPr>
            <w:tcW w:w="5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4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2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995"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2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4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5,320,022</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6,558,477</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966,600</w:t>
            </w:r>
          </w:p>
        </w:tc>
        <w:tc>
          <w:tcPr>
            <w:tcW w:w="64" w:type="dxa"/>
            <w:tcBorders/>
            <w:shd w:fill="CCEEFF" w:val="clear"/>
            <w:vAlign w:val="bottom"/>
          </w:tcPr>
          <w:p>
            <w:pPr>
              <w:pStyle w:val="TableContents"/>
              <w:bidi w:val="0"/>
              <w:spacing w:before="0" w:after="283"/>
              <w:jc w:val="left"/>
              <w:rPr/>
            </w:pPr>
            <w:r>
              <w:rPr/>
              <w:t> </w:t>
            </w:r>
          </w:p>
        </w:tc>
      </w:tr>
      <w:tr>
        <w:trPr/>
        <w:tc>
          <w:tcPr>
            <w:tcW w:w="5995" w:type="dxa"/>
            <w:tcBorders/>
          </w:tcPr>
          <w:p>
            <w:pPr>
              <w:pStyle w:val="TableContents"/>
              <w:bidi w:val="0"/>
              <w:spacing w:before="0" w:after="0"/>
              <w:jc w:val="left"/>
              <w:rPr>
                <w:rFonts w:ascii="Times New Roman" w:hAnsi="Times New Roman"/>
                <w:sz w:val="20"/>
              </w:rPr>
            </w:pPr>
            <w:r>
              <w:rPr>
                <w:rFonts w:ascii="Times New Roman" w:hAnsi="Times New Roman"/>
                <w:sz w:val="20"/>
              </w:rPr>
              <w:t>Short-term deposits</w:t>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3,112,207</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1,749,255</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257,808</w:t>
            </w:r>
          </w:p>
        </w:tc>
        <w:tc>
          <w:tcPr>
            <w:tcW w:w="64" w:type="dxa"/>
            <w:tcBorders/>
            <w:vAlign w:val="bottom"/>
          </w:tcPr>
          <w:p>
            <w:pPr>
              <w:pStyle w:val="TableContents"/>
              <w:bidi w:val="0"/>
              <w:spacing w:before="0" w:after="283"/>
              <w:jc w:val="left"/>
              <w:rPr/>
            </w:pPr>
            <w:r>
              <w:rPr/>
              <w:t> </w:t>
            </w:r>
          </w:p>
        </w:tc>
      </w:tr>
      <w:tr>
        <w:trPr/>
        <w:tc>
          <w:tcPr>
            <w:tcW w:w="5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4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120,612</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20,355</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3,000</w:t>
            </w:r>
          </w:p>
        </w:tc>
        <w:tc>
          <w:tcPr>
            <w:tcW w:w="64" w:type="dxa"/>
            <w:tcBorders/>
            <w:shd w:fill="CCEEFF" w:val="clear"/>
            <w:vAlign w:val="bottom"/>
          </w:tcPr>
          <w:p>
            <w:pPr>
              <w:pStyle w:val="TableContents"/>
              <w:bidi w:val="0"/>
              <w:spacing w:before="0" w:after="283"/>
              <w:jc w:val="left"/>
              <w:rPr/>
            </w:pPr>
            <w:r>
              <w:rPr/>
              <w:t> </w:t>
            </w:r>
          </w:p>
        </w:tc>
      </w:tr>
      <w:tr>
        <w:trPr/>
        <w:tc>
          <w:tcPr>
            <w:tcW w:w="5995"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w:t>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124,713</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184,349</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27,170</w:t>
            </w:r>
          </w:p>
        </w:tc>
        <w:tc>
          <w:tcPr>
            <w:tcW w:w="64" w:type="dxa"/>
            <w:tcBorders/>
            <w:vAlign w:val="bottom"/>
          </w:tcPr>
          <w:p>
            <w:pPr>
              <w:pStyle w:val="TableContents"/>
              <w:bidi w:val="0"/>
              <w:spacing w:before="0" w:after="283"/>
              <w:jc w:val="left"/>
              <w:rPr/>
            </w:pPr>
            <w:r>
              <w:rPr/>
              <w:t> </w:t>
            </w:r>
          </w:p>
        </w:tc>
      </w:tr>
      <w:tr>
        <w:trPr/>
        <w:tc>
          <w:tcPr>
            <w:tcW w:w="5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 of allowance for credit losses of RMB18,623 and RMB18,551 as of December 31, 2025 and June 30, 2026, respectively</w:t>
            </w:r>
          </w:p>
        </w:tc>
        <w:tc>
          <w:tcPr>
            <w:tcW w:w="14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246,208</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223,512</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32,942</w:t>
            </w:r>
          </w:p>
        </w:tc>
        <w:tc>
          <w:tcPr>
            <w:tcW w:w="64" w:type="dxa"/>
            <w:tcBorders/>
            <w:shd w:fill="CCEEFF" w:val="clear"/>
            <w:vAlign w:val="bottom"/>
          </w:tcPr>
          <w:p>
            <w:pPr>
              <w:pStyle w:val="TableContents"/>
              <w:bidi w:val="0"/>
              <w:spacing w:before="0" w:after="283"/>
              <w:jc w:val="left"/>
              <w:rPr/>
            </w:pPr>
            <w:r>
              <w:rPr/>
              <w:t> </w:t>
            </w:r>
          </w:p>
        </w:tc>
      </w:tr>
      <w:tr>
        <w:trPr/>
        <w:tc>
          <w:tcPr>
            <w:tcW w:w="5995" w:type="dxa"/>
            <w:tcBorders/>
          </w:tcPr>
          <w:p>
            <w:pPr>
              <w:pStyle w:val="TableContents"/>
              <w:bidi w:val="0"/>
              <w:spacing w:before="0" w:after="0"/>
              <w:jc w:val="left"/>
              <w:rPr>
                <w:rFonts w:ascii="Times New Roman" w:hAnsi="Times New Roman"/>
                <w:sz w:val="20"/>
              </w:rPr>
            </w:pPr>
            <w:r>
              <w:rPr>
                <w:rFonts w:ascii="Times New Roman" w:hAnsi="Times New Roman"/>
                <w:sz w:val="20"/>
              </w:rPr>
              <w:t>Amounts due from related parties</w:t>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21,751</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15,030</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2,215</w:t>
            </w:r>
          </w:p>
        </w:tc>
        <w:tc>
          <w:tcPr>
            <w:tcW w:w="64" w:type="dxa"/>
            <w:tcBorders/>
            <w:vAlign w:val="bottom"/>
          </w:tcPr>
          <w:p>
            <w:pPr>
              <w:pStyle w:val="TableContents"/>
              <w:bidi w:val="0"/>
              <w:spacing w:before="0" w:after="283"/>
              <w:jc w:val="left"/>
              <w:rPr/>
            </w:pPr>
            <w:r>
              <w:rPr/>
              <w:t> </w:t>
            </w:r>
          </w:p>
        </w:tc>
      </w:tr>
      <w:tr>
        <w:trPr/>
        <w:tc>
          <w:tcPr>
            <w:tcW w:w="5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4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791,317</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648,247</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95,540</w:t>
            </w:r>
          </w:p>
        </w:tc>
        <w:tc>
          <w:tcPr>
            <w:tcW w:w="64" w:type="dxa"/>
            <w:tcBorders/>
            <w:shd w:fill="CCEEFF" w:val="clear"/>
            <w:vAlign w:val="bottom"/>
          </w:tcPr>
          <w:p>
            <w:pPr>
              <w:pStyle w:val="TableContents"/>
              <w:bidi w:val="0"/>
              <w:spacing w:before="0" w:after="283"/>
              <w:jc w:val="left"/>
              <w:rPr/>
            </w:pPr>
            <w:r>
              <w:rPr/>
              <w:t> </w:t>
            </w:r>
          </w:p>
        </w:tc>
      </w:tr>
      <w:tr>
        <w:trPr/>
        <w:tc>
          <w:tcPr>
            <w:tcW w:w="599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95"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9,736,830</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9,399,225</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1,385,275</w:t>
            </w:r>
          </w:p>
        </w:tc>
        <w:tc>
          <w:tcPr>
            <w:tcW w:w="64" w:type="dxa"/>
            <w:tcBorders/>
            <w:vAlign w:val="bottom"/>
          </w:tcPr>
          <w:p>
            <w:pPr>
              <w:pStyle w:val="TableContents"/>
              <w:bidi w:val="0"/>
              <w:spacing w:before="0" w:after="283"/>
              <w:jc w:val="left"/>
              <w:rPr/>
            </w:pPr>
            <w:r>
              <w:rPr/>
              <w:t> </w:t>
            </w:r>
          </w:p>
        </w:tc>
      </w:tr>
      <w:tr>
        <w:trPr/>
        <w:tc>
          <w:tcPr>
            <w:tcW w:w="5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deposits</w:t>
            </w:r>
          </w:p>
        </w:tc>
        <w:tc>
          <w:tcPr>
            <w:tcW w:w="14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30,000</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4,421</w:t>
            </w:r>
          </w:p>
        </w:tc>
        <w:tc>
          <w:tcPr>
            <w:tcW w:w="64" w:type="dxa"/>
            <w:tcBorders/>
            <w:shd w:fill="CCEEFF" w:val="clear"/>
            <w:vAlign w:val="bottom"/>
          </w:tcPr>
          <w:p>
            <w:pPr>
              <w:pStyle w:val="TableContents"/>
              <w:bidi w:val="0"/>
              <w:spacing w:before="0" w:after="283"/>
              <w:jc w:val="left"/>
              <w:rPr/>
            </w:pPr>
            <w:r>
              <w:rPr/>
              <w:t> </w:t>
            </w:r>
          </w:p>
        </w:tc>
      </w:tr>
      <w:tr>
        <w:trPr/>
        <w:tc>
          <w:tcPr>
            <w:tcW w:w="5995"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 net</w:t>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118,799</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60,671</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8,942</w:t>
            </w:r>
          </w:p>
        </w:tc>
        <w:tc>
          <w:tcPr>
            <w:tcW w:w="64" w:type="dxa"/>
            <w:tcBorders/>
            <w:vAlign w:val="bottom"/>
          </w:tcPr>
          <w:p>
            <w:pPr>
              <w:pStyle w:val="TableContents"/>
              <w:bidi w:val="0"/>
              <w:spacing w:before="0" w:after="283"/>
              <w:jc w:val="left"/>
              <w:rPr/>
            </w:pPr>
            <w:r>
              <w:rPr/>
              <w:t> </w:t>
            </w:r>
          </w:p>
        </w:tc>
      </w:tr>
      <w:tr>
        <w:trPr/>
        <w:tc>
          <w:tcPr>
            <w:tcW w:w="5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4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1,420,030</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1,392,562</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205,238</w:t>
            </w:r>
          </w:p>
        </w:tc>
        <w:tc>
          <w:tcPr>
            <w:tcW w:w="64" w:type="dxa"/>
            <w:tcBorders/>
            <w:shd w:fill="CCEEFF" w:val="clear"/>
            <w:vAlign w:val="bottom"/>
          </w:tcPr>
          <w:p>
            <w:pPr>
              <w:pStyle w:val="TableContents"/>
              <w:bidi w:val="0"/>
              <w:spacing w:before="0" w:after="283"/>
              <w:jc w:val="left"/>
              <w:rPr/>
            </w:pPr>
            <w:r>
              <w:rPr/>
              <w:t> </w:t>
            </w:r>
          </w:p>
        </w:tc>
      </w:tr>
      <w:tr>
        <w:trPr/>
        <w:tc>
          <w:tcPr>
            <w:tcW w:w="5995"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240,716</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210,365</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31,004</w:t>
            </w:r>
          </w:p>
        </w:tc>
        <w:tc>
          <w:tcPr>
            <w:tcW w:w="64" w:type="dxa"/>
            <w:tcBorders/>
            <w:vAlign w:val="bottom"/>
          </w:tcPr>
          <w:p>
            <w:pPr>
              <w:pStyle w:val="TableContents"/>
              <w:bidi w:val="0"/>
              <w:spacing w:before="0" w:after="283"/>
              <w:jc w:val="left"/>
              <w:rPr/>
            </w:pPr>
            <w:r>
              <w:rPr/>
              <w:t> </w:t>
            </w:r>
          </w:p>
        </w:tc>
      </w:tr>
      <w:tr>
        <w:trPr/>
        <w:tc>
          <w:tcPr>
            <w:tcW w:w="5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Rental deposits</w:t>
            </w:r>
          </w:p>
        </w:tc>
        <w:tc>
          <w:tcPr>
            <w:tcW w:w="14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3,585</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3,930</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579</w:t>
            </w:r>
          </w:p>
        </w:tc>
        <w:tc>
          <w:tcPr>
            <w:tcW w:w="64" w:type="dxa"/>
            <w:tcBorders/>
            <w:shd w:fill="CCEEFF" w:val="clear"/>
            <w:vAlign w:val="bottom"/>
          </w:tcPr>
          <w:p>
            <w:pPr>
              <w:pStyle w:val="TableContents"/>
              <w:bidi w:val="0"/>
              <w:spacing w:before="0" w:after="283"/>
              <w:jc w:val="left"/>
              <w:rPr/>
            </w:pPr>
            <w:r>
              <w:rPr/>
              <w:t> </w:t>
            </w:r>
          </w:p>
        </w:tc>
      </w:tr>
      <w:tr>
        <w:trPr/>
        <w:tc>
          <w:tcPr>
            <w:tcW w:w="5995" w:type="dxa"/>
            <w:tcBorders/>
          </w:tcPr>
          <w:p>
            <w:pPr>
              <w:pStyle w:val="TableContents"/>
              <w:bidi w:val="0"/>
              <w:spacing w:before="0" w:after="0"/>
              <w:jc w:val="left"/>
              <w:rPr>
                <w:rFonts w:ascii="Times New Roman" w:hAnsi="Times New Roman"/>
                <w:sz w:val="20"/>
              </w:rPr>
            </w:pPr>
            <w:r>
              <w:rPr>
                <w:rFonts w:ascii="Times New Roman" w:hAnsi="Times New Roman"/>
                <w:sz w:val="20"/>
              </w:rPr>
              <w:t>Long-term investments</w:t>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1,514,042</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1,595,616</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235,165</w:t>
            </w:r>
          </w:p>
        </w:tc>
        <w:tc>
          <w:tcPr>
            <w:tcW w:w="64" w:type="dxa"/>
            <w:tcBorders/>
            <w:vAlign w:val="bottom"/>
          </w:tcPr>
          <w:p>
            <w:pPr>
              <w:pStyle w:val="TableContents"/>
              <w:bidi w:val="0"/>
              <w:spacing w:before="0" w:after="283"/>
              <w:jc w:val="left"/>
              <w:rPr/>
            </w:pPr>
            <w:r>
              <w:rPr/>
              <w:t> </w:t>
            </w:r>
          </w:p>
        </w:tc>
      </w:tr>
      <w:tr>
        <w:trPr/>
        <w:tc>
          <w:tcPr>
            <w:tcW w:w="5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4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114,384</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47,689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7,028</w:t>
            </w:r>
          </w:p>
        </w:tc>
        <w:tc>
          <w:tcPr>
            <w:tcW w:w="64" w:type="dxa"/>
            <w:tcBorders/>
            <w:shd w:fill="CCEEFF" w:val="clear"/>
            <w:vAlign w:val="bottom"/>
          </w:tcPr>
          <w:p>
            <w:pPr>
              <w:pStyle w:val="TableContents"/>
              <w:bidi w:val="0"/>
              <w:spacing w:before="0" w:after="283"/>
              <w:jc w:val="left"/>
              <w:rPr/>
            </w:pPr>
            <w:r>
              <w:rPr/>
              <w:t> </w:t>
            </w:r>
          </w:p>
        </w:tc>
      </w:tr>
      <w:tr>
        <w:trPr/>
        <w:tc>
          <w:tcPr>
            <w:tcW w:w="5995"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34,614</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35,349</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5,210</w:t>
            </w:r>
          </w:p>
        </w:tc>
        <w:tc>
          <w:tcPr>
            <w:tcW w:w="64" w:type="dxa"/>
            <w:tcBorders/>
            <w:vAlign w:val="bottom"/>
          </w:tcPr>
          <w:p>
            <w:pPr>
              <w:pStyle w:val="TableContents"/>
              <w:bidi w:val="0"/>
              <w:spacing w:before="0" w:after="283"/>
              <w:jc w:val="left"/>
              <w:rPr/>
            </w:pPr>
            <w:r>
              <w:rPr/>
              <w:t> </w:t>
            </w:r>
          </w:p>
        </w:tc>
      </w:tr>
      <w:tr>
        <w:trPr/>
        <w:tc>
          <w:tcPr>
            <w:tcW w:w="5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4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596,299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564,482</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83,194</w:t>
            </w:r>
          </w:p>
        </w:tc>
        <w:tc>
          <w:tcPr>
            <w:tcW w:w="64" w:type="dxa"/>
            <w:tcBorders/>
            <w:shd w:fill="CCEEFF" w:val="clear"/>
            <w:vAlign w:val="bottom"/>
          </w:tcPr>
          <w:p>
            <w:pPr>
              <w:pStyle w:val="TableContents"/>
              <w:bidi w:val="0"/>
              <w:spacing w:before="0" w:after="283"/>
              <w:jc w:val="left"/>
              <w:rPr/>
            </w:pPr>
            <w:r>
              <w:rPr/>
              <w:t> </w:t>
            </w:r>
          </w:p>
        </w:tc>
      </w:tr>
      <w:tr>
        <w:trPr/>
        <w:tc>
          <w:tcPr>
            <w:tcW w:w="599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9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b/>
              </w:rPr>
            </w:pPr>
            <w:r>
              <w:rPr>
                <w:b/>
              </w:rPr>
              <w:t>13,779,299</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b/>
              </w:rPr>
            </w:pPr>
            <w:r>
              <w:rPr>
                <w:b/>
              </w:rPr>
              <w:t>13,339,889</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b/>
              </w:rPr>
            </w:pPr>
            <w:r>
              <w:rPr>
                <w:b/>
              </w:rPr>
              <w:t>1,966,056</w:t>
            </w:r>
          </w:p>
        </w:tc>
        <w:tc>
          <w:tcPr>
            <w:tcW w:w="64" w:type="dxa"/>
            <w:tcBorders/>
            <w:vAlign w:val="bottom"/>
          </w:tcPr>
          <w:p>
            <w:pPr>
              <w:pStyle w:val="TableContents"/>
              <w:bidi w:val="0"/>
              <w:spacing w:before="0" w:after="283"/>
              <w:jc w:val="left"/>
              <w:rPr/>
            </w:pPr>
            <w:r>
              <w:rPr/>
              <w:t> </w:t>
            </w:r>
          </w:p>
        </w:tc>
      </w:tr>
      <w:tr>
        <w:trPr/>
        <w:tc>
          <w:tcPr>
            <w:tcW w:w="599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2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 and equity</w:t>
            </w:r>
          </w:p>
        </w:tc>
        <w:tc>
          <w:tcPr>
            <w:tcW w:w="14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2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995"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2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4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584,557</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574,746</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84,706</w:t>
            </w:r>
          </w:p>
        </w:tc>
        <w:tc>
          <w:tcPr>
            <w:tcW w:w="64" w:type="dxa"/>
            <w:tcBorders/>
            <w:shd w:fill="CCEEFF" w:val="clear"/>
            <w:vAlign w:val="bottom"/>
          </w:tcPr>
          <w:p>
            <w:pPr>
              <w:pStyle w:val="TableContents"/>
              <w:bidi w:val="0"/>
              <w:spacing w:before="0" w:after="283"/>
              <w:jc w:val="left"/>
              <w:rPr/>
            </w:pPr>
            <w:r>
              <w:rPr/>
              <w:t> </w:t>
            </w:r>
          </w:p>
        </w:tc>
      </w:tr>
      <w:tr>
        <w:trPr/>
        <w:tc>
          <w:tcPr>
            <w:tcW w:w="5995"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468,221</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459,108</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67,664</w:t>
            </w:r>
          </w:p>
        </w:tc>
        <w:tc>
          <w:tcPr>
            <w:tcW w:w="64" w:type="dxa"/>
            <w:tcBorders/>
            <w:vAlign w:val="bottom"/>
          </w:tcPr>
          <w:p>
            <w:pPr>
              <w:pStyle w:val="TableContents"/>
              <w:bidi w:val="0"/>
              <w:spacing w:before="0" w:after="283"/>
              <w:jc w:val="left"/>
              <w:rPr/>
            </w:pPr>
            <w:r>
              <w:rPr/>
              <w:t> </w:t>
            </w:r>
          </w:p>
        </w:tc>
      </w:tr>
      <w:tr>
        <w:trPr/>
        <w:tc>
          <w:tcPr>
            <w:tcW w:w="5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4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848,679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687,673</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101,350</w:t>
            </w:r>
          </w:p>
        </w:tc>
        <w:tc>
          <w:tcPr>
            <w:tcW w:w="64" w:type="dxa"/>
            <w:tcBorders/>
            <w:shd w:fill="CCEEFF" w:val="clear"/>
            <w:vAlign w:val="bottom"/>
          </w:tcPr>
          <w:p>
            <w:pPr>
              <w:pStyle w:val="TableContents"/>
              <w:bidi w:val="0"/>
              <w:spacing w:before="0" w:after="283"/>
              <w:jc w:val="left"/>
              <w:rPr/>
            </w:pPr>
            <w:r>
              <w:rPr/>
              <w:t> </w:t>
            </w:r>
          </w:p>
        </w:tc>
      </w:tr>
      <w:tr>
        <w:trPr/>
        <w:tc>
          <w:tcPr>
            <w:tcW w:w="5995"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 due within one year</w:t>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83,590</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40,587</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5,982</w:t>
            </w:r>
          </w:p>
        </w:tc>
        <w:tc>
          <w:tcPr>
            <w:tcW w:w="64" w:type="dxa"/>
            <w:tcBorders/>
            <w:vAlign w:val="bottom"/>
          </w:tcPr>
          <w:p>
            <w:pPr>
              <w:pStyle w:val="TableContents"/>
              <w:bidi w:val="0"/>
              <w:spacing w:before="0" w:after="283"/>
              <w:jc w:val="left"/>
              <w:rPr/>
            </w:pPr>
            <w:r>
              <w:rPr/>
              <w:t> </w:t>
            </w:r>
          </w:p>
        </w:tc>
      </w:tr>
      <w:tr>
        <w:trPr/>
        <w:tc>
          <w:tcPr>
            <w:tcW w:w="5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4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44,787</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20,570</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3,032</w:t>
            </w:r>
          </w:p>
        </w:tc>
        <w:tc>
          <w:tcPr>
            <w:tcW w:w="64" w:type="dxa"/>
            <w:tcBorders/>
            <w:shd w:fill="CCEEFF" w:val="clear"/>
            <w:vAlign w:val="bottom"/>
          </w:tcPr>
          <w:p>
            <w:pPr>
              <w:pStyle w:val="TableContents"/>
              <w:bidi w:val="0"/>
              <w:spacing w:before="0" w:after="283"/>
              <w:jc w:val="left"/>
              <w:rPr/>
            </w:pPr>
            <w:r>
              <w:rPr/>
              <w:t> </w:t>
            </w:r>
          </w:p>
        </w:tc>
      </w:tr>
      <w:tr>
        <w:trPr/>
        <w:tc>
          <w:tcPr>
            <w:tcW w:w="5995" w:type="dxa"/>
            <w:tcBorders/>
          </w:tcPr>
          <w:p>
            <w:pPr>
              <w:pStyle w:val="TableContents"/>
              <w:bidi w:val="0"/>
              <w:spacing w:before="0" w:after="0"/>
              <w:jc w:val="left"/>
              <w:rPr>
                <w:rFonts w:ascii="Times New Roman" w:hAnsi="Times New Roman"/>
                <w:sz w:val="20"/>
              </w:rPr>
            </w:pPr>
            <w:r>
              <w:rPr>
                <w:rFonts w:ascii="Times New Roman" w:hAnsi="Times New Roman"/>
                <w:sz w:val="20"/>
              </w:rPr>
              <w:t>Deferred consideration in connection with business acquisitions-current</w:t>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47,839</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46,408</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6,840</w:t>
            </w:r>
          </w:p>
        </w:tc>
        <w:tc>
          <w:tcPr>
            <w:tcW w:w="64" w:type="dxa"/>
            <w:tcBorders/>
            <w:vAlign w:val="bottom"/>
          </w:tcPr>
          <w:p>
            <w:pPr>
              <w:pStyle w:val="TableContents"/>
              <w:bidi w:val="0"/>
              <w:spacing w:before="0" w:after="283"/>
              <w:jc w:val="left"/>
              <w:rPr/>
            </w:pPr>
            <w:r>
              <w:rPr/>
              <w:t> </w:t>
            </w:r>
          </w:p>
        </w:tc>
      </w:tr>
      <w:tr>
        <w:trPr/>
        <w:tc>
          <w:tcPr>
            <w:tcW w:w="5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borrowings, current portion</w:t>
            </w:r>
          </w:p>
        </w:tc>
        <w:tc>
          <w:tcPr>
            <w:tcW w:w="14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2,118</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1,702</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251</w:t>
            </w:r>
          </w:p>
        </w:tc>
        <w:tc>
          <w:tcPr>
            <w:tcW w:w="64" w:type="dxa"/>
            <w:tcBorders/>
            <w:shd w:fill="CCEEFF" w:val="clear"/>
            <w:vAlign w:val="bottom"/>
          </w:tcPr>
          <w:p>
            <w:pPr>
              <w:pStyle w:val="TableContents"/>
              <w:bidi w:val="0"/>
              <w:spacing w:before="0" w:after="283"/>
              <w:jc w:val="left"/>
              <w:rPr/>
            </w:pPr>
            <w:r>
              <w:rPr/>
              <w:t> </w:t>
            </w:r>
          </w:p>
        </w:tc>
      </w:tr>
      <w:tr>
        <w:trPr/>
        <w:tc>
          <w:tcPr>
            <w:tcW w:w="599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95"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2,079,791</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1,830,794</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269,825</w:t>
            </w:r>
          </w:p>
        </w:tc>
        <w:tc>
          <w:tcPr>
            <w:tcW w:w="64" w:type="dxa"/>
            <w:tcBorders/>
            <w:vAlign w:val="bottom"/>
          </w:tcPr>
          <w:p>
            <w:pPr>
              <w:pStyle w:val="TableContents"/>
              <w:bidi w:val="0"/>
              <w:spacing w:before="0" w:after="283"/>
              <w:jc w:val="left"/>
              <w:rPr/>
            </w:pPr>
            <w:r>
              <w:rPr/>
              <w:t> </w:t>
            </w:r>
          </w:p>
        </w:tc>
      </w:tr>
      <w:tr>
        <w:trPr/>
        <w:tc>
          <w:tcPr>
            <w:tcW w:w="5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4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39,986</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24,056</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3,545</w:t>
            </w:r>
          </w:p>
        </w:tc>
        <w:tc>
          <w:tcPr>
            <w:tcW w:w="64" w:type="dxa"/>
            <w:tcBorders/>
            <w:shd w:fill="CCEEFF" w:val="clear"/>
            <w:vAlign w:val="bottom"/>
          </w:tcPr>
          <w:p>
            <w:pPr>
              <w:pStyle w:val="TableContents"/>
              <w:bidi w:val="0"/>
              <w:spacing w:before="0" w:after="283"/>
              <w:jc w:val="left"/>
              <w:rPr/>
            </w:pPr>
            <w:r>
              <w:rPr/>
              <w:t> </w:t>
            </w:r>
          </w:p>
        </w:tc>
      </w:tr>
      <w:tr>
        <w:trPr/>
        <w:tc>
          <w:tcPr>
            <w:tcW w:w="5995"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531,996</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565,753</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83,382</w:t>
            </w:r>
          </w:p>
        </w:tc>
        <w:tc>
          <w:tcPr>
            <w:tcW w:w="64" w:type="dxa"/>
            <w:tcBorders/>
            <w:vAlign w:val="bottom"/>
          </w:tcPr>
          <w:p>
            <w:pPr>
              <w:pStyle w:val="TableContents"/>
              <w:bidi w:val="0"/>
              <w:spacing w:before="0" w:after="283"/>
              <w:jc w:val="left"/>
              <w:rPr/>
            </w:pPr>
            <w:r>
              <w:rPr/>
              <w:t> </w:t>
            </w:r>
          </w:p>
        </w:tc>
      </w:tr>
      <w:tr>
        <w:trPr/>
        <w:tc>
          <w:tcPr>
            <w:tcW w:w="5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borrowings</w:t>
            </w:r>
          </w:p>
        </w:tc>
        <w:tc>
          <w:tcPr>
            <w:tcW w:w="14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3,133</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1,816</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268</w:t>
            </w:r>
          </w:p>
        </w:tc>
        <w:tc>
          <w:tcPr>
            <w:tcW w:w="64" w:type="dxa"/>
            <w:tcBorders/>
            <w:shd w:fill="CCEEFF" w:val="clear"/>
            <w:vAlign w:val="bottom"/>
          </w:tcPr>
          <w:p>
            <w:pPr>
              <w:pStyle w:val="TableContents"/>
              <w:bidi w:val="0"/>
              <w:spacing w:before="0" w:after="283"/>
              <w:jc w:val="left"/>
              <w:rPr/>
            </w:pPr>
            <w:r>
              <w:rPr/>
              <w:t> </w:t>
            </w:r>
          </w:p>
        </w:tc>
      </w:tr>
      <w:tr>
        <w:trPr/>
        <w:tc>
          <w:tcPr>
            <w:tcW w:w="5995"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39,605</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44,464</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6,553</w:t>
            </w:r>
          </w:p>
        </w:tc>
        <w:tc>
          <w:tcPr>
            <w:tcW w:w="64" w:type="dxa"/>
            <w:tcBorders/>
            <w:vAlign w:val="bottom"/>
          </w:tcPr>
          <w:p>
            <w:pPr>
              <w:pStyle w:val="TableContents"/>
              <w:bidi w:val="0"/>
              <w:spacing w:before="0" w:after="283"/>
              <w:jc w:val="left"/>
              <w:rPr/>
            </w:pPr>
            <w:r>
              <w:rPr/>
              <w:t> </w:t>
            </w:r>
          </w:p>
        </w:tc>
      </w:tr>
      <w:tr>
        <w:trPr/>
        <w:tc>
          <w:tcPr>
            <w:tcW w:w="599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4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2,694,511</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2,466,883</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363,573</w:t>
            </w:r>
          </w:p>
        </w:tc>
        <w:tc>
          <w:tcPr>
            <w:tcW w:w="64" w:type="dxa"/>
            <w:tcBorders/>
            <w:shd w:fill="CCEEFF" w:val="clear"/>
            <w:vAlign w:val="bottom"/>
          </w:tcPr>
          <w:p>
            <w:pPr>
              <w:pStyle w:val="TableContents"/>
              <w:bidi w:val="0"/>
              <w:spacing w:before="0" w:after="283"/>
              <w:jc w:val="left"/>
              <w:rPr/>
            </w:pPr>
            <w:r>
              <w:rPr/>
              <w:t> </w:t>
            </w:r>
          </w:p>
        </w:tc>
      </w:tr>
      <w:tr>
        <w:trPr/>
        <w:tc>
          <w:tcPr>
            <w:tcW w:w="5995" w:type="dxa"/>
            <w:tcBorders/>
          </w:tcPr>
          <w:p>
            <w:pPr>
              <w:pStyle w:val="TableContents"/>
              <w:bidi w:val="0"/>
              <w:spacing w:before="0" w:after="0"/>
              <w:jc w:val="left"/>
              <w:rPr>
                <w:rFonts w:ascii="Times New Roman" w:hAnsi="Times New Roman"/>
                <w:sz w:val="20"/>
              </w:rPr>
            </w:pPr>
            <w:r>
              <w:rPr>
                <w:rFonts w:ascii="Times New Roman" w:hAnsi="Times New Roman"/>
                <w:sz w:val="20"/>
              </w:rPr>
              <w:t>Shareholder’s equity (ii)</w:t>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11,084,788</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10,873,006</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1,602,483</w:t>
            </w:r>
          </w:p>
        </w:tc>
        <w:tc>
          <w:tcPr>
            <w:tcW w:w="64" w:type="dxa"/>
            <w:tcBorders/>
            <w:vAlign w:val="bottom"/>
          </w:tcPr>
          <w:p>
            <w:pPr>
              <w:pStyle w:val="TableContents"/>
              <w:bidi w:val="0"/>
              <w:spacing w:before="0" w:after="283"/>
              <w:jc w:val="left"/>
              <w:rPr/>
            </w:pPr>
            <w:r>
              <w:rPr/>
              <w:t> </w:t>
            </w:r>
          </w:p>
        </w:tc>
      </w:tr>
      <w:tr>
        <w:trPr/>
        <w:tc>
          <w:tcPr>
            <w:tcW w:w="599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14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b/>
              </w:rPr>
            </w:pPr>
            <w:r>
              <w:rPr>
                <w:b/>
              </w:rPr>
              <w:t>13,779,299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b/>
              </w:rPr>
            </w:pPr>
            <w:r>
              <w:rPr>
                <w:b/>
              </w:rPr>
              <w:t>13,339,889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b/>
              </w:rPr>
            </w:pPr>
            <w:r>
              <w:rPr>
                <w:b/>
              </w:rPr>
              <w:t>1,966,056</w:t>
            </w:r>
          </w:p>
        </w:tc>
        <w:tc>
          <w:tcPr>
            <w:tcW w:w="64" w:type="dxa"/>
            <w:tcBorders/>
            <w:shd w:fill="CCEEFF" w:val="clear"/>
            <w:vAlign w:val="bottom"/>
          </w:tcPr>
          <w:p>
            <w:pPr>
              <w:pStyle w:val="TableContents"/>
              <w:bidi w:val="0"/>
              <w:spacing w:before="0" w:after="283"/>
              <w:jc w:val="left"/>
              <w:rPr/>
            </w:pPr>
            <w:r>
              <w:rPr/>
              <w:t> </w:t>
            </w:r>
          </w:p>
        </w:tc>
      </w:tr>
      <w:tr>
        <w:trPr/>
        <w:tc>
          <w:tcPr>
            <w:tcW w:w="599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2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June 30, 2026, the number of ordinary shares outstanding was 287,271,368.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Hello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Condensed Consolidated Statement of Cash Flows </w:t>
      </w:r>
    </w:p>
    <w:p>
      <w:pPr>
        <w:pStyle w:val="TextBody"/>
        <w:bidi w:val="0"/>
        <w:spacing w:before="0" w:after="0"/>
        <w:jc w:val="center"/>
        <w:rPr>
          <w:rFonts w:ascii="Times New Roman" w:hAnsi="Times New Roman"/>
          <w:sz w:val="20"/>
        </w:rPr>
      </w:pPr>
      <w:r>
        <w:rPr>
          <w:rFonts w:ascii="Times New Roman" w:hAnsi="Times New Roman"/>
          <w:sz w:val="20"/>
        </w:rPr>
        <w:t xml:space="preserve">(All amounts 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22"/>
        <w:gridCol w:w="130"/>
        <w:gridCol w:w="60"/>
        <w:gridCol w:w="994"/>
        <w:gridCol w:w="158"/>
        <w:gridCol w:w="80"/>
        <w:gridCol w:w="60"/>
        <w:gridCol w:w="994"/>
        <w:gridCol w:w="158"/>
        <w:gridCol w:w="80"/>
        <w:gridCol w:w="60"/>
        <w:gridCol w:w="814"/>
        <w:gridCol w:w="158"/>
        <w:gridCol w:w="80"/>
        <w:gridCol w:w="60"/>
        <w:gridCol w:w="1056"/>
        <w:gridCol w:w="158"/>
        <w:gridCol w:w="80"/>
        <w:gridCol w:w="60"/>
        <w:gridCol w:w="994"/>
        <w:gridCol w:w="158"/>
        <w:gridCol w:w="80"/>
        <w:gridCol w:w="60"/>
        <w:gridCol w:w="875"/>
        <w:gridCol w:w="176"/>
      </w:tblGrid>
      <w:tr>
        <w:trPr/>
        <w:tc>
          <w:tcPr>
            <w:tcW w:w="2622"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622"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458" w:type="dxa"/>
            <w:gridSpan w:val="10"/>
            <w:tcBorders/>
            <w:vAlign w:val="bottom"/>
          </w:tcPr>
          <w:p>
            <w:pPr>
              <w:pStyle w:val="TableContents"/>
              <w:bidi w:val="0"/>
              <w:spacing w:before="0" w:after="283"/>
              <w:jc w:val="center"/>
              <w:rPr/>
            </w:pPr>
            <w:r>
              <w:rPr/>
              <w:t>Three months</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3581" w:type="dxa"/>
            <w:gridSpan w:val="10"/>
            <w:tcBorders/>
            <w:vAlign w:val="bottom"/>
          </w:tcPr>
          <w:p>
            <w:pPr>
              <w:pStyle w:val="TableContents"/>
              <w:bidi w:val="0"/>
              <w:spacing w:before="0" w:after="283"/>
              <w:jc w:val="center"/>
              <w:rPr/>
            </w:pPr>
            <w:r>
              <w:rPr/>
              <w:t>First half year</w:t>
            </w:r>
          </w:p>
        </w:tc>
        <w:tc>
          <w:tcPr>
            <w:tcW w:w="176" w:type="dxa"/>
            <w:tcBorders/>
            <w:vAlign w:val="bottom"/>
          </w:tcPr>
          <w:p>
            <w:pPr>
              <w:pStyle w:val="TableContents"/>
              <w:bidi w:val="0"/>
              <w:spacing w:before="0" w:after="283"/>
              <w:jc w:val="left"/>
              <w:rPr/>
            </w:pPr>
            <w:r>
              <w:rPr/>
              <w:t> </w:t>
            </w:r>
          </w:p>
        </w:tc>
      </w:tr>
      <w:tr>
        <w:trPr/>
        <w:tc>
          <w:tcPr>
            <w:tcW w:w="2622"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458" w:type="dxa"/>
            <w:gridSpan w:val="10"/>
            <w:tcBorders>
              <w:bottom w:val="single" w:sz="8" w:space="0" w:color="000000"/>
            </w:tcBorders>
            <w:tcMar>
              <w:bottom w:w="28" w:type="dxa"/>
            </w:tcMar>
            <w:vAlign w:val="bottom"/>
          </w:tcPr>
          <w:p>
            <w:pPr>
              <w:pStyle w:val="TableContents"/>
              <w:bidi w:val="0"/>
              <w:spacing w:before="0" w:after="283"/>
              <w:jc w:val="center"/>
              <w:rPr/>
            </w:pPr>
            <w:r>
              <w:rPr/>
              <w:t>Ended June 30</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3581" w:type="dxa"/>
            <w:gridSpan w:val="10"/>
            <w:tcBorders>
              <w:bottom w:val="single" w:sz="8" w:space="0" w:color="000000"/>
            </w:tcBorders>
            <w:tcMar>
              <w:bottom w:w="28" w:type="dxa"/>
            </w:tcMar>
            <w:vAlign w:val="bottom"/>
          </w:tcPr>
          <w:p>
            <w:pPr>
              <w:pStyle w:val="TableContents"/>
              <w:bidi w:val="0"/>
              <w:spacing w:before="0" w:after="283"/>
              <w:jc w:val="center"/>
              <w:rPr/>
            </w:pPr>
            <w:r>
              <w:rPr/>
              <w:t>Ended June 30</w:t>
            </w:r>
          </w:p>
        </w:tc>
        <w:tc>
          <w:tcPr>
            <w:tcW w:w="176" w:type="dxa"/>
            <w:tcBorders/>
            <w:vAlign w:val="bottom"/>
          </w:tcPr>
          <w:p>
            <w:pPr>
              <w:pStyle w:val="TableContents"/>
              <w:bidi w:val="0"/>
              <w:spacing w:before="0" w:after="283"/>
              <w:jc w:val="left"/>
              <w:rPr/>
            </w:pPr>
            <w:r>
              <w:rPr/>
              <w:t> </w:t>
            </w:r>
          </w:p>
        </w:tc>
      </w:tr>
      <w:tr>
        <w:trPr/>
        <w:tc>
          <w:tcPr>
            <w:tcW w:w="2622"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054" w:type="dxa"/>
            <w:gridSpan w:val="2"/>
            <w:tcBorders/>
            <w:vAlign w:val="bottom"/>
          </w:tcPr>
          <w:p>
            <w:pPr>
              <w:pStyle w:val="TableContents"/>
              <w:bidi w:val="0"/>
              <w:spacing w:before="0" w:after="283"/>
              <w:jc w:val="center"/>
              <w:rPr/>
            </w:pPr>
            <w:r>
              <w:rPr/>
              <w:t>2025</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54" w:type="dxa"/>
            <w:gridSpan w:val="2"/>
            <w:tcBorders/>
            <w:vAlign w:val="bottom"/>
          </w:tcPr>
          <w:p>
            <w:pPr>
              <w:pStyle w:val="TableContents"/>
              <w:bidi w:val="0"/>
              <w:spacing w:before="0" w:after="283"/>
              <w:jc w:val="center"/>
              <w:rPr/>
            </w:pPr>
            <w:r>
              <w:rPr/>
              <w:t>2026</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74" w:type="dxa"/>
            <w:gridSpan w:val="2"/>
            <w:tcBorders/>
            <w:vAlign w:val="bottom"/>
          </w:tcPr>
          <w:p>
            <w:pPr>
              <w:pStyle w:val="TableContents"/>
              <w:bidi w:val="0"/>
              <w:spacing w:before="0" w:after="283"/>
              <w:jc w:val="center"/>
              <w:rPr/>
            </w:pPr>
            <w:r>
              <w:rPr/>
              <w:t>2026</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16" w:type="dxa"/>
            <w:gridSpan w:val="2"/>
            <w:tcBorders/>
            <w:vAlign w:val="bottom"/>
          </w:tcPr>
          <w:p>
            <w:pPr>
              <w:pStyle w:val="TableContents"/>
              <w:bidi w:val="0"/>
              <w:spacing w:before="0" w:after="283"/>
              <w:jc w:val="center"/>
              <w:rPr/>
            </w:pPr>
            <w:r>
              <w:rPr/>
              <w:t>2025</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54" w:type="dxa"/>
            <w:gridSpan w:val="2"/>
            <w:tcBorders/>
            <w:vAlign w:val="bottom"/>
          </w:tcPr>
          <w:p>
            <w:pPr>
              <w:pStyle w:val="TableContents"/>
              <w:bidi w:val="0"/>
              <w:spacing w:before="0" w:after="283"/>
              <w:jc w:val="center"/>
              <w:rPr/>
            </w:pPr>
            <w:r>
              <w:rPr/>
              <w:t>2026</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35" w:type="dxa"/>
            <w:gridSpan w:val="2"/>
            <w:tcBorders/>
            <w:vAlign w:val="bottom"/>
          </w:tcPr>
          <w:p>
            <w:pPr>
              <w:pStyle w:val="TableContents"/>
              <w:bidi w:val="0"/>
              <w:spacing w:before="0" w:after="283"/>
              <w:jc w:val="center"/>
              <w:rPr/>
            </w:pPr>
            <w:r>
              <w:rPr/>
              <w:t>2026</w:t>
            </w:r>
          </w:p>
        </w:tc>
        <w:tc>
          <w:tcPr>
            <w:tcW w:w="176" w:type="dxa"/>
            <w:tcBorders/>
            <w:vAlign w:val="bottom"/>
          </w:tcPr>
          <w:p>
            <w:pPr>
              <w:pStyle w:val="TableContents"/>
              <w:bidi w:val="0"/>
              <w:spacing w:before="0" w:after="283"/>
              <w:jc w:val="left"/>
              <w:rPr/>
            </w:pPr>
            <w:r>
              <w:rPr/>
              <w:t> </w:t>
            </w:r>
          </w:p>
        </w:tc>
      </w:tr>
      <w:tr>
        <w:trPr/>
        <w:tc>
          <w:tcPr>
            <w:tcW w:w="2622"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bottom"/>
          </w:tcPr>
          <w:p>
            <w:pPr>
              <w:pStyle w:val="TableContents"/>
              <w:bidi w:val="0"/>
              <w:spacing w:before="0" w:after="283"/>
              <w:jc w:val="center"/>
              <w:rPr/>
            </w:pPr>
            <w:r>
              <w:rPr/>
              <w:t>RMB</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bottom"/>
          </w:tcPr>
          <w:p>
            <w:pPr>
              <w:pStyle w:val="TableContents"/>
              <w:bidi w:val="0"/>
              <w:spacing w:before="0" w:after="283"/>
              <w:jc w:val="center"/>
              <w:rPr/>
            </w:pPr>
            <w:r>
              <w:rPr/>
              <w:t>RMB</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bottom"/>
          </w:tcPr>
          <w:p>
            <w:pPr>
              <w:pStyle w:val="TableContents"/>
              <w:bidi w:val="0"/>
              <w:spacing w:before="0" w:after="283"/>
              <w:jc w:val="center"/>
              <w:rPr/>
            </w:pPr>
            <w:r>
              <w:rPr/>
              <w:t>US$</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bottom"/>
          </w:tcPr>
          <w:p>
            <w:pPr>
              <w:pStyle w:val="TableContents"/>
              <w:bidi w:val="0"/>
              <w:spacing w:before="0" w:after="283"/>
              <w:jc w:val="center"/>
              <w:rPr/>
            </w:pPr>
            <w:r>
              <w:rPr/>
              <w:t>RMB</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bottom"/>
          </w:tcPr>
          <w:p>
            <w:pPr>
              <w:pStyle w:val="TableContents"/>
              <w:bidi w:val="0"/>
              <w:spacing w:before="0" w:after="283"/>
              <w:jc w:val="center"/>
              <w:rPr/>
            </w:pPr>
            <w:r>
              <w:rPr/>
              <w:t>RMB</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pPr>
            <w:r>
              <w:rPr/>
              <w:t>US$</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(139,411</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238,363</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35,131</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219,078</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529,864</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78,093</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income to net cash provided by operating activities: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of property and equipment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11,229</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15,898</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2,343</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23,620</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31,726</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4,676</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7,655</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9,200</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1,356</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13,846</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18,610</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2,743</w:t>
            </w:r>
          </w:p>
        </w:tc>
        <w:tc>
          <w:tcPr>
            <w:tcW w:w="176" w:type="dxa"/>
            <w:tcBorders/>
            <w:shd w:fill="CCEEFF" w:val="clear"/>
            <w:vAlign w:val="bottom"/>
          </w:tcPr>
          <w:p>
            <w:pPr>
              <w:pStyle w:val="TableContents"/>
              <w:bidi w:val="0"/>
              <w:spacing w:before="0" w:after="283"/>
              <w:jc w:val="left"/>
              <w:rPr/>
            </w:pPr>
            <w:r>
              <w:rPr/>
              <w:t> </w:t>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37,801</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30,146</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4,444</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78,661</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61,451</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9,057</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of income on equity method investments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(13,427</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(41,479</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(6,113</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(53,158</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(50,017</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(7,372</w:t>
            </w:r>
          </w:p>
        </w:tc>
        <w:tc>
          <w:tcPr>
            <w:tcW w:w="176" w:type="dxa"/>
            <w:tcBorders/>
            <w:shd w:fill="CCEEFF" w:val="clear"/>
            <w:vAlign w:val="bottom"/>
          </w:tcPr>
          <w:p>
            <w:pPr>
              <w:pStyle w:val="TableContents"/>
              <w:bidi w:val="0"/>
              <w:spacing w:before="0" w:after="283"/>
              <w:jc w:val="left"/>
              <w:rPr/>
            </w:pPr>
            <w:r>
              <w:rPr/>
              <w:t>) </w:t>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Gain or loss on fair value changes of short-term investments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25,087</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3,697</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25,982</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3,829</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Returns on investments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289</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797</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Loss on long-term investments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40</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40</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or loss on disposal of property and equipment</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(146</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1,382</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204</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(248</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1,382</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204</w:t>
            </w:r>
          </w:p>
        </w:tc>
        <w:tc>
          <w:tcPr>
            <w:tcW w:w="176" w:type="dxa"/>
            <w:tcBorders/>
            <w:shd w:fill="CCEEFF" w:val="clear"/>
            <w:vAlign w:val="bottom"/>
          </w:tcPr>
          <w:p>
            <w:pPr>
              <w:pStyle w:val="TableContents"/>
              <w:bidi w:val="0"/>
              <w:spacing w:before="0" w:after="283"/>
              <w:jc w:val="left"/>
              <w:rPr/>
            </w:pPr>
            <w:r>
              <w:rPr/>
              <w:t> </w:t>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Provision of loss (income) on receivable and other assets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312</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(325</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(48</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5,717</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110</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16</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(17,847</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192,026</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28,301</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(36,991</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20,056</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2,956</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(133,016</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103,792</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15,297</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(121,641</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157,420</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23,201</w:t>
            </w:r>
          </w:p>
        </w:tc>
        <w:tc>
          <w:tcPr>
            <w:tcW w:w="176" w:type="dxa"/>
            <w:tcBorders/>
            <w:shd w:fill="CCEEFF" w:val="clear"/>
            <w:vAlign w:val="bottom"/>
          </w:tcPr>
          <w:p>
            <w:pPr>
              <w:pStyle w:val="TableContents"/>
              <w:bidi w:val="0"/>
              <w:spacing w:before="0" w:after="283"/>
              <w:jc w:val="left"/>
              <w:rPr/>
            </w:pPr>
            <w:r>
              <w:rPr/>
              <w:t> </w:t>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Amounts due from related parties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(98</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(14</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(240</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(35</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Rental deposits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8,016</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858</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126</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7,906</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841</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124</w:t>
            </w:r>
          </w:p>
        </w:tc>
        <w:tc>
          <w:tcPr>
            <w:tcW w:w="176" w:type="dxa"/>
            <w:tcBorders/>
            <w:shd w:fill="CCEEFF" w:val="clear"/>
            <w:vAlign w:val="bottom"/>
          </w:tcPr>
          <w:p>
            <w:pPr>
              <w:pStyle w:val="TableContents"/>
              <w:bidi w:val="0"/>
              <w:spacing w:before="0" w:after="283"/>
              <w:jc w:val="left"/>
              <w:rPr/>
            </w:pPr>
            <w:r>
              <w:rPr/>
              <w:t> </w:t>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581</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627</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92</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921</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(824</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(121</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46,626</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84,667</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12,478</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81,672</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123,434</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18,192</w:t>
            </w:r>
          </w:p>
        </w:tc>
        <w:tc>
          <w:tcPr>
            <w:tcW w:w="176" w:type="dxa"/>
            <w:tcBorders/>
            <w:shd w:fill="CCEEFF" w:val="clear"/>
            <w:vAlign w:val="bottom"/>
          </w:tcPr>
          <w:p>
            <w:pPr>
              <w:pStyle w:val="TableContents"/>
              <w:bidi w:val="0"/>
              <w:spacing w:before="0" w:after="283"/>
              <w:jc w:val="left"/>
              <w:rPr/>
            </w:pPr>
            <w:r>
              <w:rPr/>
              <w:t> </w:t>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4,047</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7,534</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1,110</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(9,496</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(7,143</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(1,053</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363,302</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(14,535</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(2,142</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262,323</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(24,051</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(3,545</w:t>
            </w:r>
          </w:p>
        </w:tc>
        <w:tc>
          <w:tcPr>
            <w:tcW w:w="176" w:type="dxa"/>
            <w:tcBorders/>
            <w:shd w:fill="CCEEFF" w:val="clear"/>
            <w:vAlign w:val="bottom"/>
          </w:tcPr>
          <w:p>
            <w:pPr>
              <w:pStyle w:val="TableContents"/>
              <w:bidi w:val="0"/>
              <w:spacing w:before="0" w:after="283"/>
              <w:jc w:val="left"/>
              <w:rPr/>
            </w:pPr>
            <w:r>
              <w:rPr/>
              <w:t>) </w:t>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2,684</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(7,983</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(1,177</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11,719</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(6,900</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(1,017</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(70,803</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(11,312</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(1,667</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(141,786</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(106,605</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(15,712</w:t>
            </w:r>
          </w:p>
        </w:tc>
        <w:tc>
          <w:tcPr>
            <w:tcW w:w="176" w:type="dxa"/>
            <w:tcBorders/>
            <w:shd w:fill="CCEEFF" w:val="clear"/>
            <w:vAlign w:val="bottom"/>
          </w:tcPr>
          <w:p>
            <w:pPr>
              <w:pStyle w:val="TableContents"/>
              <w:bidi w:val="0"/>
              <w:spacing w:before="0" w:after="283"/>
              <w:jc w:val="left"/>
              <w:rPr/>
            </w:pPr>
            <w:r>
              <w:rPr/>
              <w:t>) </w:t>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181,183</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16,264</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2,397</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193,896</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35,186</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5,186</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(38,986</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(7,764</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(1,144</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(47,026</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(9,030</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(1,331</w:t>
            </w:r>
          </w:p>
        </w:tc>
        <w:tc>
          <w:tcPr>
            <w:tcW w:w="176" w:type="dxa"/>
            <w:tcBorders/>
            <w:shd w:fill="CCEEFF" w:val="clear"/>
            <w:vAlign w:val="bottom"/>
          </w:tcPr>
          <w:p>
            <w:pPr>
              <w:pStyle w:val="TableContents"/>
              <w:bidi w:val="0"/>
              <w:spacing w:before="0" w:after="283"/>
              <w:jc w:val="left"/>
              <w:rPr/>
            </w:pPr>
            <w:r>
              <w:rPr/>
              <w:t>) </w:t>
            </w:r>
          </w:p>
        </w:tc>
      </w:tr>
      <w:tr>
        <w:trPr/>
        <w:tc>
          <w:tcPr>
            <w:tcW w:w="262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262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operating activities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b/>
              </w:rPr>
            </w:pPr>
            <w:r>
              <w:rPr>
                <w:b/>
              </w:rPr>
              <w:t>250,129</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b/>
              </w:rPr>
            </w:pPr>
            <w:r>
              <w:rPr>
                <w:b/>
              </w:rPr>
              <w:t>642,348</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b/>
              </w:rPr>
            </w:pPr>
            <w:r>
              <w:rPr>
                <w:b/>
              </w:rPr>
              <w:t>94,671</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b/>
              </w:rPr>
            </w:pPr>
            <w:r>
              <w:rPr>
                <w:b/>
              </w:rPr>
              <w:t>489,850</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b/>
              </w:rPr>
            </w:pPr>
            <w:r>
              <w:rPr>
                <w:b/>
              </w:rPr>
              <w:t>801,252</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b/>
              </w:rPr>
            </w:pPr>
            <w:r>
              <w:rPr>
                <w:b/>
              </w:rPr>
              <w:t>118,091</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(26,162</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(15,043</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(2,217</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(53,976</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(30,204</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(4,452</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for long-term investments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(72,593</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(44,000</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(6,485</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(72,593</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(62,000</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(9,138</w:t>
            </w:r>
          </w:p>
        </w:tc>
        <w:tc>
          <w:tcPr>
            <w:tcW w:w="176" w:type="dxa"/>
            <w:tcBorders/>
            <w:shd w:fill="CCEEFF" w:val="clear"/>
            <w:vAlign w:val="bottom"/>
          </w:tcPr>
          <w:p>
            <w:pPr>
              <w:pStyle w:val="TableContents"/>
              <w:bidi w:val="0"/>
              <w:spacing w:before="0" w:after="283"/>
              <w:jc w:val="left"/>
              <w:rPr/>
            </w:pPr>
            <w:r>
              <w:rPr/>
              <w:t>) </w:t>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Payment for business acquisition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(194,390</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of term deposits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(280,000</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(41,267</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(390,000</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(57,479</w:t>
            </w:r>
          </w:p>
        </w:tc>
        <w:tc>
          <w:tcPr>
            <w:tcW w:w="176" w:type="dxa"/>
            <w:tcBorders/>
            <w:shd w:fill="CCEEFF" w:val="clear"/>
            <w:vAlign w:val="bottom"/>
          </w:tcPr>
          <w:p>
            <w:pPr>
              <w:pStyle w:val="TableContents"/>
              <w:bidi w:val="0"/>
              <w:spacing w:before="0" w:after="283"/>
              <w:jc w:val="left"/>
              <w:rPr/>
            </w:pPr>
            <w:r>
              <w:rPr/>
              <w:t>) </w:t>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Cash received on maturity of term deposits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1,379,613</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203,330</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1,257,245</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1,706,517</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251,509</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for short-term investments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(49,471</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(7,291</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(90,269</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(13,304</w:t>
            </w:r>
          </w:p>
        </w:tc>
        <w:tc>
          <w:tcPr>
            <w:tcW w:w="176" w:type="dxa"/>
            <w:tcBorders/>
            <w:shd w:fill="CCEEFF" w:val="clear"/>
            <w:vAlign w:val="bottom"/>
          </w:tcPr>
          <w:p>
            <w:pPr>
              <w:pStyle w:val="TableContents"/>
              <w:bidi w:val="0"/>
              <w:spacing w:before="0" w:after="283"/>
              <w:jc w:val="left"/>
              <w:rPr/>
            </w:pPr>
            <w:r>
              <w:rPr/>
              <w:t>) </w:t>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Returns of investments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1,303</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192</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 to a third-party company</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(6,278</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(33,756</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Loan to a related party</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(3,930</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(579</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received from repayment of loans to a related party</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3,500</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516</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10,890</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1,605</w:t>
            </w:r>
          </w:p>
        </w:tc>
        <w:tc>
          <w:tcPr>
            <w:tcW w:w="176" w:type="dxa"/>
            <w:tcBorders/>
            <w:shd w:fill="CCEEFF" w:val="clear"/>
            <w:vAlign w:val="bottom"/>
          </w:tcPr>
          <w:p>
            <w:pPr>
              <w:pStyle w:val="TableContents"/>
              <w:bidi w:val="0"/>
              <w:spacing w:before="0" w:after="283"/>
              <w:jc w:val="left"/>
              <w:rPr/>
            </w:pPr>
            <w:r>
              <w:rPr/>
              <w:t> </w:t>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Other investing activities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302</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2,406</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355</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494</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2,503</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369</w:t>
            </w:r>
          </w:p>
        </w:tc>
        <w:tc>
          <w:tcPr>
            <w:tcW w:w="176" w:type="dxa"/>
            <w:tcBorders/>
            <w:vAlign w:val="bottom"/>
          </w:tcPr>
          <w:p>
            <w:pPr>
              <w:pStyle w:val="TableContents"/>
              <w:bidi w:val="0"/>
              <w:spacing w:before="0" w:after="283"/>
              <w:jc w:val="left"/>
              <w:rPr/>
            </w:pPr>
            <w:r>
              <w:rPr/>
              <w:t> </w:t>
            </w:r>
          </w:p>
        </w:tc>
      </w:tr>
      <w:tr>
        <w:trPr/>
        <w:tc>
          <w:tcPr>
            <w:tcW w:w="262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262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provided by investing activities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b/>
              </w:rPr>
            </w:pPr>
            <w:r>
              <w:rPr>
                <w:b/>
              </w:rPr>
              <w:t>(104,731</w:t>
            </w:r>
          </w:p>
        </w:tc>
        <w:tc>
          <w:tcPr>
            <w:tcW w:w="158" w:type="dxa"/>
            <w:tcBorders/>
            <w:shd w:fill="CCEEFF" w:val="clear"/>
            <w:vAlign w:val="bottom"/>
          </w:tcPr>
          <w:p>
            <w:pPr>
              <w:pStyle w:val="TableContents"/>
              <w:bidi w:val="0"/>
              <w:spacing w:before="0" w:after="283"/>
              <w:jc w:val="left"/>
              <w:rPr>
                <w:b/>
              </w:rPr>
            </w:pPr>
            <w:r>
              <w:rPr>
                <w:b/>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b/>
              </w:rPr>
            </w:pPr>
            <w:r>
              <w:rPr>
                <w:b/>
              </w:rPr>
              <w:t>997,005</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146,941</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b/>
              </w:rPr>
            </w:pPr>
            <w:r>
              <w:rPr>
                <w:b/>
              </w:rPr>
              <w:t>903,024</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b/>
              </w:rPr>
            </w:pPr>
            <w:r>
              <w:rPr>
                <w:b/>
              </w:rPr>
              <w:t>1,144,810</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rPr>
            </w:pPr>
            <w:r>
              <w:rPr>
                <w:b/>
              </w:rPr>
              <w:t>168,723</w:t>
            </w:r>
          </w:p>
        </w:tc>
        <w:tc>
          <w:tcPr>
            <w:tcW w:w="176" w:type="dxa"/>
            <w:tcBorders/>
            <w:shd w:fill="CCEEFF" w:val="clear"/>
            <w:vAlign w:val="bottom"/>
          </w:tcPr>
          <w:p>
            <w:pPr>
              <w:pStyle w:val="TableContents"/>
              <w:bidi w:val="0"/>
              <w:spacing w:before="0" w:after="283"/>
              <w:jc w:val="left"/>
              <w:rPr/>
            </w:pPr>
            <w:r>
              <w:rPr/>
              <w:t> </w:t>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exercise of share options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4</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3</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Repurchase of ordinary shares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(97,196</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(184,781</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(27,233</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(298,725</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(371,965</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(54,821</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payment</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(346,182</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(280,558</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(41,349</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(346,182</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(280,558</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(41,349</w:t>
            </w:r>
          </w:p>
        </w:tc>
        <w:tc>
          <w:tcPr>
            <w:tcW w:w="176" w:type="dxa"/>
            <w:tcBorders/>
            <w:shd w:fill="CCEEFF" w:val="clear"/>
            <w:vAlign w:val="bottom"/>
          </w:tcPr>
          <w:p>
            <w:pPr>
              <w:pStyle w:val="TableContents"/>
              <w:bidi w:val="0"/>
              <w:spacing w:before="0" w:after="283"/>
              <w:jc w:val="left"/>
              <w:rPr/>
            </w:pPr>
            <w:r>
              <w:rPr/>
              <w:t>) </w:t>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Deferred settlement of a share-based compensation liability</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(82,361</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(12,139</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(82,361</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(12,139</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in relation to redemption of convertible bonds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(20,221</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(20,221</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Advance payment for acquisition of non-controlling interest</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(20,918</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(3,083</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short-term borrowings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(200</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(29</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(1,690,535</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(200</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(29</w:t>
            </w:r>
          </w:p>
        </w:tc>
        <w:tc>
          <w:tcPr>
            <w:tcW w:w="176" w:type="dxa"/>
            <w:tcBorders/>
            <w:shd w:fill="CCEEFF" w:val="clear"/>
            <w:vAlign w:val="bottom"/>
          </w:tcPr>
          <w:p>
            <w:pPr>
              <w:pStyle w:val="TableContents"/>
              <w:bidi w:val="0"/>
              <w:spacing w:before="0" w:after="283"/>
              <w:jc w:val="left"/>
              <w:rPr/>
            </w:pPr>
            <w:r>
              <w:rPr/>
              <w:t>) </w:t>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long-term borrowings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(279</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(433</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(64</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(674</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(1,165</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(172</w:t>
            </w:r>
          </w:p>
        </w:tc>
        <w:tc>
          <w:tcPr>
            <w:tcW w:w="176" w:type="dxa"/>
            <w:tcBorders/>
            <w:vAlign w:val="bottom"/>
          </w:tcPr>
          <w:p>
            <w:pPr>
              <w:pStyle w:val="TableContents"/>
              <w:bidi w:val="0"/>
              <w:spacing w:before="0" w:after="283"/>
              <w:jc w:val="left"/>
              <w:rPr/>
            </w:pPr>
            <w:r>
              <w:rPr/>
              <w:t>) </w:t>
            </w:r>
          </w:p>
        </w:tc>
      </w:tr>
      <w:tr>
        <w:trPr/>
        <w:tc>
          <w:tcPr>
            <w:tcW w:w="262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262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financing activities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b/>
              </w:rPr>
            </w:pPr>
            <w:r>
              <w:rPr>
                <w:b/>
              </w:rPr>
              <w:t>(463,876</w:t>
            </w:r>
          </w:p>
        </w:tc>
        <w:tc>
          <w:tcPr>
            <w:tcW w:w="158" w:type="dxa"/>
            <w:tcBorders/>
            <w:shd w:fill="CCEEFF" w:val="clear"/>
            <w:vAlign w:val="bottom"/>
          </w:tcPr>
          <w:p>
            <w:pPr>
              <w:pStyle w:val="TableContents"/>
              <w:bidi w:val="0"/>
              <w:spacing w:before="0" w:after="283"/>
              <w:jc w:val="left"/>
              <w:rPr>
                <w:b/>
              </w:rPr>
            </w:pPr>
            <w:r>
              <w:rPr>
                <w:b/>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b/>
              </w:rPr>
            </w:pPr>
            <w:r>
              <w:rPr>
                <w:b/>
              </w:rPr>
              <w:t>(548,333</w:t>
            </w:r>
          </w:p>
        </w:tc>
        <w:tc>
          <w:tcPr>
            <w:tcW w:w="158" w:type="dxa"/>
            <w:tcBorders/>
            <w:shd w:fill="CCEEFF" w:val="clear"/>
            <w:vAlign w:val="bottom"/>
          </w:tcPr>
          <w:p>
            <w:pPr>
              <w:pStyle w:val="TableContents"/>
              <w:bidi w:val="0"/>
              <w:spacing w:before="0" w:after="283"/>
              <w:jc w:val="left"/>
              <w:rPr>
                <w:b/>
              </w:rPr>
            </w:pPr>
            <w:r>
              <w:rPr>
                <w:b/>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(80,814</w:t>
            </w:r>
          </w:p>
        </w:tc>
        <w:tc>
          <w:tcPr>
            <w:tcW w:w="158" w:type="dxa"/>
            <w:tcBorders/>
            <w:shd w:fill="CCEEFF" w:val="clear"/>
            <w:vAlign w:val="bottom"/>
          </w:tcPr>
          <w:p>
            <w:pPr>
              <w:pStyle w:val="TableContents"/>
              <w:bidi w:val="0"/>
              <w:spacing w:before="0" w:after="283"/>
              <w:jc w:val="left"/>
              <w:rPr>
                <w:b/>
              </w:rPr>
            </w:pPr>
            <w:r>
              <w:rPr>
                <w:b/>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b/>
              </w:rPr>
            </w:pPr>
            <w:r>
              <w:rPr>
                <w:b/>
              </w:rPr>
              <w:t>(2,356,333</w:t>
            </w:r>
          </w:p>
        </w:tc>
        <w:tc>
          <w:tcPr>
            <w:tcW w:w="158" w:type="dxa"/>
            <w:tcBorders/>
            <w:shd w:fill="CCEEFF" w:val="clear"/>
            <w:vAlign w:val="bottom"/>
          </w:tcPr>
          <w:p>
            <w:pPr>
              <w:pStyle w:val="TableContents"/>
              <w:bidi w:val="0"/>
              <w:spacing w:before="0" w:after="283"/>
              <w:jc w:val="left"/>
              <w:rPr>
                <w:b/>
              </w:rPr>
            </w:pPr>
            <w:r>
              <w:rPr>
                <w:b/>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b/>
              </w:rPr>
            </w:pPr>
            <w:r>
              <w:rPr>
                <w:b/>
              </w:rPr>
              <w:t>(757,164</w:t>
            </w:r>
          </w:p>
        </w:tc>
        <w:tc>
          <w:tcPr>
            <w:tcW w:w="158" w:type="dxa"/>
            <w:tcBorders/>
            <w:shd w:fill="CCEEFF" w:val="clear"/>
            <w:vAlign w:val="bottom"/>
          </w:tcPr>
          <w:p>
            <w:pPr>
              <w:pStyle w:val="TableContents"/>
              <w:bidi w:val="0"/>
              <w:spacing w:before="0" w:after="283"/>
              <w:jc w:val="left"/>
              <w:rPr>
                <w:b/>
              </w:rPr>
            </w:pPr>
            <w:r>
              <w:rPr>
                <w:b/>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rPr>
            </w:pPr>
            <w:r>
              <w:rPr>
                <w:b/>
              </w:rPr>
              <w:t>(111,593</w:t>
            </w:r>
          </w:p>
        </w:tc>
        <w:tc>
          <w:tcPr>
            <w:tcW w:w="176" w:type="dxa"/>
            <w:tcBorders/>
            <w:shd w:fill="CCEEFF" w:val="clear"/>
            <w:vAlign w:val="bottom"/>
          </w:tcPr>
          <w:p>
            <w:pPr>
              <w:pStyle w:val="TableContents"/>
              <w:bidi w:val="0"/>
              <w:spacing w:before="0" w:after="283"/>
              <w:jc w:val="left"/>
              <w:rPr>
                <w:b/>
              </w:rPr>
            </w:pPr>
            <w:r>
              <w:rPr>
                <w:b/>
              </w:rPr>
              <w:t>) </w:t>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(53,620</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(23,681</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(3,492</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(79,305</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(50,700</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(7,471</w:t>
            </w:r>
          </w:p>
        </w:tc>
        <w:tc>
          <w:tcPr>
            <w:tcW w:w="176" w:type="dxa"/>
            <w:tcBorders/>
            <w:vAlign w:val="bottom"/>
          </w:tcPr>
          <w:p>
            <w:pPr>
              <w:pStyle w:val="TableContents"/>
              <w:bidi w:val="0"/>
              <w:spacing w:before="0" w:after="283"/>
              <w:jc w:val="left"/>
              <w:rPr/>
            </w:pPr>
            <w:r>
              <w:rPr/>
              <w:t>) </w:t>
            </w:r>
          </w:p>
        </w:tc>
      </w:tr>
      <w:tr>
        <w:trPr/>
        <w:tc>
          <w:tcPr>
            <w:tcW w:w="262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262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(decrease) increase in cash and cash equivalents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b/>
              </w:rPr>
            </w:pPr>
            <w:r>
              <w:rPr>
                <w:b/>
              </w:rPr>
              <w:t>(372,098</w:t>
            </w:r>
          </w:p>
        </w:tc>
        <w:tc>
          <w:tcPr>
            <w:tcW w:w="158" w:type="dxa"/>
            <w:tcBorders/>
            <w:shd w:fill="CCEEFF" w:val="clear"/>
            <w:vAlign w:val="bottom"/>
          </w:tcPr>
          <w:p>
            <w:pPr>
              <w:pStyle w:val="TableContents"/>
              <w:bidi w:val="0"/>
              <w:spacing w:before="0" w:after="283"/>
              <w:jc w:val="left"/>
              <w:rPr>
                <w:b/>
              </w:rPr>
            </w:pPr>
            <w:r>
              <w:rPr>
                <w:b/>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b/>
              </w:rPr>
            </w:pPr>
            <w:r>
              <w:rPr>
                <w:b/>
              </w:rPr>
              <w:t>1,067,339</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b/>
              </w:rPr>
            </w:pPr>
            <w:r>
              <w:rPr>
                <w:b/>
              </w:rPr>
              <w:t>157,306</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b/>
              </w:rPr>
            </w:pPr>
            <w:r>
              <w:rPr>
                <w:b/>
              </w:rPr>
              <w:t>(1,042,764</w:t>
            </w:r>
          </w:p>
        </w:tc>
        <w:tc>
          <w:tcPr>
            <w:tcW w:w="158" w:type="dxa"/>
            <w:tcBorders/>
            <w:shd w:fill="CCEEFF" w:val="clear"/>
            <w:vAlign w:val="bottom"/>
          </w:tcPr>
          <w:p>
            <w:pPr>
              <w:pStyle w:val="TableContents"/>
              <w:bidi w:val="0"/>
              <w:spacing w:before="0" w:after="283"/>
              <w:jc w:val="left"/>
              <w:rPr>
                <w:b/>
              </w:rPr>
            </w:pPr>
            <w:r>
              <w:rPr>
                <w:b/>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b/>
              </w:rPr>
            </w:pPr>
            <w:r>
              <w:rPr>
                <w:b/>
              </w:rPr>
              <w:t>1,138,198</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rPr>
            </w:pPr>
            <w:r>
              <w:rPr>
                <w:b/>
              </w:rPr>
              <w:t>167,750</w:t>
            </w:r>
          </w:p>
        </w:tc>
        <w:tc>
          <w:tcPr>
            <w:tcW w:w="176" w:type="dxa"/>
            <w:tcBorders/>
            <w:shd w:fill="CCEEFF" w:val="clear"/>
            <w:vAlign w:val="bottom"/>
          </w:tcPr>
          <w:p>
            <w:pPr>
              <w:pStyle w:val="TableContents"/>
              <w:bidi w:val="0"/>
              <w:spacing w:before="0" w:after="283"/>
              <w:jc w:val="left"/>
              <w:rPr/>
            </w:pPr>
            <w:r>
              <w:rPr/>
              <w:t> </w:t>
            </w:r>
          </w:p>
        </w:tc>
      </w:tr>
      <w:tr>
        <w:trPr/>
        <w:tc>
          <w:tcPr>
            <w:tcW w:w="2622"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the beginning of period</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8,971,755</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5,511,493</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812,294</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9,642,421</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5,440,634</w:t>
            </w:r>
          </w:p>
        </w:tc>
        <w:tc>
          <w:tcPr>
            <w:tcW w:w="15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801,850</w:t>
            </w:r>
          </w:p>
        </w:tc>
        <w:tc>
          <w:tcPr>
            <w:tcW w:w="176" w:type="dxa"/>
            <w:tcBorders/>
            <w:vAlign w:val="bottom"/>
          </w:tcPr>
          <w:p>
            <w:pPr>
              <w:pStyle w:val="TableContents"/>
              <w:bidi w:val="0"/>
              <w:spacing w:before="0" w:after="283"/>
              <w:jc w:val="left"/>
              <w:rPr/>
            </w:pPr>
            <w:r>
              <w:rPr/>
              <w:t> </w:t>
            </w:r>
          </w:p>
        </w:tc>
      </w:tr>
      <w:tr>
        <w:trPr/>
        <w:tc>
          <w:tcPr>
            <w:tcW w:w="2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the end of period</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8,599,657</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6,578,832</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969,600</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8,599,657</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6,578,832</w:t>
            </w:r>
          </w:p>
        </w:tc>
        <w:tc>
          <w:tcPr>
            <w:tcW w:w="158"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969,600</w:t>
            </w:r>
          </w:p>
        </w:tc>
        <w:tc>
          <w:tcPr>
            <w:tcW w:w="17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Hello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Non-GAAP financial measures to comparable GAAP measures </w:t>
      </w:r>
    </w:p>
    <w:p>
      <w:pPr>
        <w:pStyle w:val="TextBody"/>
        <w:bidi w:val="0"/>
        <w:spacing w:before="0" w:after="0"/>
        <w:jc w:val="center"/>
        <w:rPr>
          <w:rFonts w:ascii="Times New Roman" w:hAnsi="Times New Roman"/>
          <w:sz w:val="20"/>
        </w:rPr>
      </w:pPr>
      <w:r>
        <w:rPr>
          <w:rFonts w:ascii="Times New Roman" w:hAnsi="Times New Roman"/>
          <w:sz w:val="20"/>
        </w:rPr>
        <w:t xml:space="preserve">(All amounts in thousands, except per share data)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Reconciliation of Non-GAAP cost and operating expenses, income from operations, and net income to comparable GAAP measures. </w:t>
            </w:r>
          </w:p>
        </w:tc>
      </w:tr>
    </w:tbl>
    <w:p>
      <w:pPr>
        <w:pStyle w:val="TextBody"/>
        <w:bidi w:val="0"/>
        <w:spacing w:before="0" w:after="0"/>
        <w:jc w:val="left"/>
        <w:rPr/>
      </w:pPr>
      <w:r>
        <w:rPr/>
        <w:t> </w:t>
      </w:r>
    </w:p>
    <w:tbl>
      <w:tblPr>
        <w:tblW w:w="20185" w:type="dxa"/>
        <w:jc w:val="center"/>
        <w:tblInd w:w="0" w:type="dxa"/>
        <w:tblLayout w:type="fixed"/>
        <w:tblCellMar>
          <w:top w:w="0" w:type="dxa"/>
          <w:left w:w="0" w:type="dxa"/>
          <w:bottom w:w="0" w:type="dxa"/>
          <w:right w:w="0" w:type="dxa"/>
        </w:tblCellMar>
      </w:tblPr>
      <w:tblGrid>
        <w:gridCol w:w="1190"/>
        <w:gridCol w:w="120"/>
        <w:gridCol w:w="60"/>
        <w:gridCol w:w="1055"/>
        <w:gridCol w:w="155"/>
        <w:gridCol w:w="60"/>
        <w:gridCol w:w="122"/>
        <w:gridCol w:w="1143"/>
        <w:gridCol w:w="60"/>
        <w:gridCol w:w="120"/>
        <w:gridCol w:w="107"/>
        <w:gridCol w:w="1218"/>
        <w:gridCol w:w="60"/>
        <w:gridCol w:w="120"/>
        <w:gridCol w:w="64"/>
        <w:gridCol w:w="1126"/>
        <w:gridCol w:w="155"/>
        <w:gridCol w:w="60"/>
        <w:gridCol w:w="60"/>
        <w:gridCol w:w="1055"/>
        <w:gridCol w:w="155"/>
        <w:gridCol w:w="60"/>
        <w:gridCol w:w="122"/>
        <w:gridCol w:w="1143"/>
        <w:gridCol w:w="60"/>
        <w:gridCol w:w="120"/>
        <w:gridCol w:w="107"/>
        <w:gridCol w:w="1218"/>
        <w:gridCol w:w="60"/>
        <w:gridCol w:w="120"/>
        <w:gridCol w:w="70"/>
        <w:gridCol w:w="745"/>
        <w:gridCol w:w="155"/>
        <w:gridCol w:w="60"/>
        <w:gridCol w:w="64"/>
        <w:gridCol w:w="1126"/>
        <w:gridCol w:w="155"/>
        <w:gridCol w:w="60"/>
        <w:gridCol w:w="60"/>
        <w:gridCol w:w="875"/>
        <w:gridCol w:w="155"/>
        <w:gridCol w:w="60"/>
        <w:gridCol w:w="122"/>
        <w:gridCol w:w="1143"/>
        <w:gridCol w:w="60"/>
        <w:gridCol w:w="120"/>
        <w:gridCol w:w="128"/>
        <w:gridCol w:w="1197"/>
        <w:gridCol w:w="60"/>
        <w:gridCol w:w="120"/>
        <w:gridCol w:w="94"/>
        <w:gridCol w:w="721"/>
        <w:gridCol w:w="155"/>
        <w:gridCol w:w="60"/>
        <w:gridCol w:w="76"/>
        <w:gridCol w:w="1114"/>
        <w:gridCol w:w="155"/>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90" w:type="dxa"/>
            <w:vMerge w:val="restart"/>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470" w:type="dxa"/>
            <w:gridSpan w:val="14"/>
            <w:tcBorders/>
            <w:vAlign w:val="bottom"/>
          </w:tcPr>
          <w:p>
            <w:pPr>
              <w:pStyle w:val="TableContents"/>
              <w:bidi w:val="0"/>
              <w:spacing w:before="0" w:after="283"/>
              <w:jc w:val="center"/>
              <w:rPr/>
            </w:pPr>
            <w:r>
              <w:rPr/>
              <w:t>Three months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0" w:type="dxa"/>
            <w:gridSpan w:val="18"/>
            <w:tcBorders/>
            <w:vAlign w:val="bottom"/>
          </w:tcPr>
          <w:p>
            <w:pPr>
              <w:pStyle w:val="TableContents"/>
              <w:bidi w:val="0"/>
              <w:spacing w:before="0" w:after="283"/>
              <w:jc w:val="center"/>
              <w:rPr/>
            </w:pPr>
            <w:r>
              <w:rPr/>
              <w:t>Three months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20" w:type="dxa"/>
            <w:gridSpan w:val="18"/>
            <w:tcBorders/>
            <w:vAlign w:val="bottom"/>
          </w:tcPr>
          <w:p>
            <w:pPr>
              <w:pStyle w:val="TableContents"/>
              <w:bidi w:val="0"/>
              <w:spacing w:before="0" w:after="283"/>
              <w:jc w:val="center"/>
              <w:rPr/>
            </w:pPr>
            <w:r>
              <w:rPr/>
              <w:t>Three months</w:t>
            </w:r>
          </w:p>
        </w:tc>
        <w:tc>
          <w:tcPr>
            <w:tcW w:w="155" w:type="dxa"/>
            <w:tcBorders/>
            <w:vAlign w:val="bottom"/>
          </w:tcPr>
          <w:p>
            <w:pPr>
              <w:pStyle w:val="TableContents"/>
              <w:bidi w:val="0"/>
              <w:spacing w:before="0" w:after="283"/>
              <w:jc w:val="left"/>
              <w:rPr/>
            </w:pPr>
            <w:r>
              <w:rPr/>
              <w:t> </w:t>
            </w:r>
          </w:p>
        </w:tc>
      </w:tr>
      <w:tr>
        <w:trPr/>
        <w:tc>
          <w:tcPr>
            <w:tcW w:w="119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5470" w:type="dxa"/>
            <w:gridSpan w:val="14"/>
            <w:tcBorders>
              <w:bottom w:val="single" w:sz="8" w:space="0" w:color="000000"/>
            </w:tcBorders>
            <w:tcMar>
              <w:bottom w:w="28" w:type="dxa"/>
            </w:tcMar>
            <w:vAlign w:val="bottom"/>
          </w:tcPr>
          <w:p>
            <w:pPr>
              <w:pStyle w:val="TableContents"/>
              <w:bidi w:val="0"/>
              <w:spacing w:before="0" w:after="283"/>
              <w:jc w:val="center"/>
              <w:rPr/>
            </w:pPr>
            <w:r>
              <w:rPr/>
              <w:t>Ended June 30, 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0" w:type="dxa"/>
            <w:gridSpan w:val="18"/>
            <w:tcBorders>
              <w:bottom w:val="single" w:sz="8" w:space="0" w:color="000000"/>
            </w:tcBorders>
            <w:tcMar>
              <w:bottom w:w="28" w:type="dxa"/>
            </w:tcMar>
            <w:vAlign w:val="bottom"/>
          </w:tcPr>
          <w:p>
            <w:pPr>
              <w:pStyle w:val="TableContents"/>
              <w:bidi w:val="0"/>
              <w:spacing w:before="0" w:after="283"/>
              <w:jc w:val="center"/>
              <w:rPr/>
            </w:pPr>
            <w:r>
              <w:rPr/>
              <w:t>Ended June 30, 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20" w:type="dxa"/>
            <w:gridSpan w:val="18"/>
            <w:tcBorders>
              <w:bottom w:val="single" w:sz="8" w:space="0" w:color="000000"/>
            </w:tcBorders>
            <w:tcMar>
              <w:bottom w:w="28" w:type="dxa"/>
            </w:tcMar>
            <w:vAlign w:val="bottom"/>
          </w:tcPr>
          <w:p>
            <w:pPr>
              <w:pStyle w:val="TableContents"/>
              <w:bidi w:val="0"/>
              <w:spacing w:before="0" w:after="283"/>
              <w:jc w:val="center"/>
              <w:rPr/>
            </w:pPr>
            <w:r>
              <w:rPr/>
              <w:t>Ended June 30, 2026</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t>GAAP</w:t>
              <w:b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t>Amortization</w:t>
              <w:br/>
              <w:t>of intangible</w:t>
              <w:br/>
              <w:t>assets from</w:t>
              <w:br/>
              <w:t>business</w:t>
              <w:br/>
              <w:t>acquisitions</w:t>
              <w:br/>
              <w:t>RMB</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pPr>
            <w:r>
              <w:rPr/>
              <w:t>Share-based</w:t>
              <w:br/>
              <w:t>compensation</w:t>
              <w:br/>
              <w:t>RMB</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t>Non-GAAP</w:t>
              <w:b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t>GAAP</w:t>
              <w:b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t>Amortization</w:t>
              <w:br/>
              <w:t>of intangible</w:t>
              <w:br/>
              <w:t>assets from</w:t>
              <w:br/>
              <w:t>business</w:t>
              <w:br/>
              <w:t>acquisitions</w:t>
              <w:br/>
              <w:t>RMB</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pPr>
            <w:r>
              <w:rPr/>
              <w:t>Share-based</w:t>
              <w:br/>
              <w:t>compensation</w:t>
              <w:br/>
              <w:t>RMB</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pPr>
            <w:r>
              <w:rPr/>
              <w:t>Tax</w:t>
              <w:br/>
              <w:t>impacts(iii)</w:t>
              <w:b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t>Non-GAAP</w:t>
              <w:b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pPr>
            <w:r>
              <w:rPr/>
              <w:t>GAAP</w:t>
              <w:b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t>Amortization</w:t>
              <w:br/>
              <w:t>of intangible</w:t>
              <w:br/>
              <w:t>assets from</w:t>
              <w:br/>
              <w:t>business</w:t>
              <w:br/>
              <w:t>acquisitions</w:t>
              <w:br/>
              <w:t>US$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pPr>
            <w:r>
              <w:rPr/>
              <w:t>Share-based</w:t>
              <w:br/>
              <w:t>compensation</w:t>
              <w:br/>
              <w:t>US$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pPr>
            <w:r>
              <w:rPr/>
              <w:t>Tax</w:t>
              <w:br/>
              <w:t>impacts(iii)</w:t>
              <w:b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t>Non-GAAP</w:t>
              <w:br/>
              <w:t>US$</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(1,607,712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1,762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1,560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(1,604,390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(1,599,304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1,537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2,257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(1,595,510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(235,708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227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333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(235,148</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(183,859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1,140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10,710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(172,009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(182,949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1,635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10,014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(171,300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(26,963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241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1,476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(25,246</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(347,327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3,474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4,159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(339,694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(388,038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4,749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2,909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(380,380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(57,190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700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429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(56,061</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(88,839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21,372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(67,467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(90,036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14,966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(75,070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(13,270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2,206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(11,064</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2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2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Cost and operating expenses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(2,227,737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b/>
              </w:rPr>
            </w:pPr>
            <w:r>
              <w:rPr>
                <w:b/>
              </w:rPr>
              <w:t>6,376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b/>
              </w:rPr>
            </w:pPr>
            <w:r>
              <w:rPr>
                <w:b/>
              </w:rPr>
              <w:t>37,801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b/>
              </w:rPr>
            </w:pPr>
            <w:r>
              <w:rPr>
                <w:b/>
              </w:rPr>
              <w:t>(2,183,560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(2,260,327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b/>
              </w:rPr>
            </w:pPr>
            <w:r>
              <w:rPr>
                <w:b/>
              </w:rPr>
              <w:t>7,921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b/>
              </w:rPr>
            </w:pPr>
            <w:r>
              <w:rPr>
                <w:b/>
              </w:rPr>
              <w:t>30,146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b/>
              </w:rPr>
            </w:pPr>
            <w:r>
              <w:rPr>
                <w:b/>
              </w:rPr>
              <w:t>(2,222,260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rPr>
            </w:pPr>
            <w:r>
              <w:rPr>
                <w:b/>
              </w:rPr>
              <w:t>(333,131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b/>
              </w:rPr>
            </w:pPr>
            <w:r>
              <w:rPr>
                <w:b/>
              </w:rPr>
              <w:t>1,168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b/>
              </w:rPr>
            </w:pPr>
            <w:r>
              <w:rPr>
                <w:b/>
              </w:rPr>
              <w:t>4,444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b/>
              </w:rPr>
            </w:pPr>
            <w:r>
              <w:rPr>
                <w:b/>
              </w:rPr>
              <w:t>(327,519</w:t>
            </w:r>
          </w:p>
        </w:tc>
        <w:tc>
          <w:tcPr>
            <w:tcW w:w="155" w:type="dxa"/>
            <w:tcBorders/>
            <w:shd w:fill="CCEEFF" w:val="clear"/>
            <w:vAlign w:val="bottom"/>
          </w:tcPr>
          <w:p>
            <w:pPr>
              <w:pStyle w:val="TableContents"/>
              <w:bidi w:val="0"/>
              <w:spacing w:before="0" w:after="283"/>
              <w:jc w:val="left"/>
              <w:rPr>
                <w:b/>
              </w:rPr>
            </w:pPr>
            <w:r>
              <w:rPr>
                <w:b/>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403,496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6,376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37,801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447,673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238,000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7,921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30,146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276,067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35,077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1,168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4,444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40,689</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income attributable to the shareholders of Hello Group Inc.</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(140,204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6,376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37,801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(96,027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237,435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7,921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30,146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(1,596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273,906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34,994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1,168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4,444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(235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40,371</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Hello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Non-GAAP financial measures to comparable GAAP measures </w:t>
      </w:r>
    </w:p>
    <w:p>
      <w:pPr>
        <w:pStyle w:val="TextBody"/>
        <w:bidi w:val="0"/>
        <w:spacing w:before="0" w:after="0"/>
        <w:jc w:val="center"/>
        <w:rPr>
          <w:rFonts w:ascii="Times New Roman" w:hAnsi="Times New Roman"/>
          <w:sz w:val="20"/>
        </w:rPr>
      </w:pPr>
      <w:r>
        <w:rPr>
          <w:rFonts w:ascii="Times New Roman" w:hAnsi="Times New Roman"/>
          <w:sz w:val="20"/>
        </w:rPr>
        <w:t xml:space="preserve">(All amounts in thousands, except per share data)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Reconciliation of Non-GAAP cost and operating expenses, income from operations, and net income to comparable GAAP measures-continued. </w:t>
            </w:r>
          </w:p>
        </w:tc>
      </w:tr>
    </w:tbl>
    <w:p>
      <w:pPr>
        <w:pStyle w:val="TextBody"/>
        <w:bidi w:val="0"/>
        <w:spacing w:before="0" w:after="0"/>
        <w:jc w:val="left"/>
        <w:rPr/>
      </w:pPr>
      <w:r>
        <w:rPr/>
        <w:t> </w:t>
      </w:r>
    </w:p>
    <w:tbl>
      <w:tblPr>
        <w:tblW w:w="20185" w:type="dxa"/>
        <w:jc w:val="center"/>
        <w:tblInd w:w="0" w:type="dxa"/>
        <w:tblLayout w:type="fixed"/>
        <w:tblCellMar>
          <w:top w:w="0" w:type="dxa"/>
          <w:left w:w="0" w:type="dxa"/>
          <w:bottom w:w="0" w:type="dxa"/>
          <w:right w:w="0" w:type="dxa"/>
        </w:tblCellMar>
      </w:tblPr>
      <w:tblGrid>
        <w:gridCol w:w="1190"/>
        <w:gridCol w:w="120"/>
        <w:gridCol w:w="60"/>
        <w:gridCol w:w="1055"/>
        <w:gridCol w:w="155"/>
        <w:gridCol w:w="60"/>
        <w:gridCol w:w="102"/>
        <w:gridCol w:w="1163"/>
        <w:gridCol w:w="60"/>
        <w:gridCol w:w="120"/>
        <w:gridCol w:w="107"/>
        <w:gridCol w:w="1218"/>
        <w:gridCol w:w="60"/>
        <w:gridCol w:w="120"/>
        <w:gridCol w:w="64"/>
        <w:gridCol w:w="1126"/>
        <w:gridCol w:w="155"/>
        <w:gridCol w:w="60"/>
        <w:gridCol w:w="60"/>
        <w:gridCol w:w="1055"/>
        <w:gridCol w:w="155"/>
        <w:gridCol w:w="60"/>
        <w:gridCol w:w="102"/>
        <w:gridCol w:w="1163"/>
        <w:gridCol w:w="60"/>
        <w:gridCol w:w="120"/>
        <w:gridCol w:w="107"/>
        <w:gridCol w:w="1218"/>
        <w:gridCol w:w="60"/>
        <w:gridCol w:w="120"/>
        <w:gridCol w:w="70"/>
        <w:gridCol w:w="745"/>
        <w:gridCol w:w="155"/>
        <w:gridCol w:w="60"/>
        <w:gridCol w:w="64"/>
        <w:gridCol w:w="1126"/>
        <w:gridCol w:w="155"/>
        <w:gridCol w:w="60"/>
        <w:gridCol w:w="60"/>
        <w:gridCol w:w="875"/>
        <w:gridCol w:w="155"/>
        <w:gridCol w:w="60"/>
        <w:gridCol w:w="122"/>
        <w:gridCol w:w="1143"/>
        <w:gridCol w:w="60"/>
        <w:gridCol w:w="120"/>
        <w:gridCol w:w="128"/>
        <w:gridCol w:w="1197"/>
        <w:gridCol w:w="60"/>
        <w:gridCol w:w="120"/>
        <w:gridCol w:w="94"/>
        <w:gridCol w:w="721"/>
        <w:gridCol w:w="155"/>
        <w:gridCol w:w="60"/>
        <w:gridCol w:w="76"/>
        <w:gridCol w:w="1114"/>
        <w:gridCol w:w="155"/>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90" w:type="dxa"/>
            <w:vMerge w:val="restart"/>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470" w:type="dxa"/>
            <w:gridSpan w:val="14"/>
            <w:tcBorders/>
            <w:vAlign w:val="bottom"/>
          </w:tcPr>
          <w:p>
            <w:pPr>
              <w:pStyle w:val="TableContents"/>
              <w:bidi w:val="0"/>
              <w:spacing w:before="0" w:after="283"/>
              <w:jc w:val="center"/>
              <w:rPr/>
            </w:pPr>
            <w:r>
              <w:rPr/>
              <w:t>First half year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0" w:type="dxa"/>
            <w:gridSpan w:val="18"/>
            <w:tcBorders/>
            <w:vAlign w:val="bottom"/>
          </w:tcPr>
          <w:p>
            <w:pPr>
              <w:pStyle w:val="TableContents"/>
              <w:bidi w:val="0"/>
              <w:spacing w:before="0" w:after="283"/>
              <w:jc w:val="center"/>
              <w:rPr/>
            </w:pPr>
            <w:r>
              <w:rPr/>
              <w:t>First half year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20" w:type="dxa"/>
            <w:gridSpan w:val="18"/>
            <w:tcBorders/>
            <w:vAlign w:val="bottom"/>
          </w:tcPr>
          <w:p>
            <w:pPr>
              <w:pStyle w:val="TableContents"/>
              <w:bidi w:val="0"/>
              <w:spacing w:before="0" w:after="283"/>
              <w:jc w:val="center"/>
              <w:rPr/>
            </w:pPr>
            <w:r>
              <w:rPr/>
              <w:t>First half year</w:t>
            </w:r>
          </w:p>
        </w:tc>
        <w:tc>
          <w:tcPr>
            <w:tcW w:w="155" w:type="dxa"/>
            <w:tcBorders/>
            <w:vAlign w:val="bottom"/>
          </w:tcPr>
          <w:p>
            <w:pPr>
              <w:pStyle w:val="TableContents"/>
              <w:bidi w:val="0"/>
              <w:spacing w:before="0" w:after="283"/>
              <w:jc w:val="left"/>
              <w:rPr/>
            </w:pPr>
            <w:r>
              <w:rPr/>
              <w:t> </w:t>
            </w:r>
          </w:p>
        </w:tc>
      </w:tr>
      <w:tr>
        <w:trPr/>
        <w:tc>
          <w:tcPr>
            <w:tcW w:w="1190" w:type="dxa"/>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5470" w:type="dxa"/>
            <w:gridSpan w:val="14"/>
            <w:tcBorders>
              <w:bottom w:val="single" w:sz="8" w:space="0" w:color="000000"/>
            </w:tcBorders>
            <w:tcMar>
              <w:bottom w:w="28" w:type="dxa"/>
            </w:tcMar>
            <w:vAlign w:val="bottom"/>
          </w:tcPr>
          <w:p>
            <w:pPr>
              <w:pStyle w:val="TableContents"/>
              <w:bidi w:val="0"/>
              <w:spacing w:before="0" w:after="283"/>
              <w:jc w:val="center"/>
              <w:rPr/>
            </w:pPr>
            <w:r>
              <w:rPr/>
              <w:t>Ended June 30, 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0" w:type="dxa"/>
            <w:gridSpan w:val="18"/>
            <w:tcBorders>
              <w:bottom w:val="single" w:sz="8" w:space="0" w:color="000000"/>
            </w:tcBorders>
            <w:tcMar>
              <w:bottom w:w="28" w:type="dxa"/>
            </w:tcMar>
            <w:vAlign w:val="bottom"/>
          </w:tcPr>
          <w:p>
            <w:pPr>
              <w:pStyle w:val="TableContents"/>
              <w:bidi w:val="0"/>
              <w:spacing w:before="0" w:after="283"/>
              <w:jc w:val="center"/>
              <w:rPr/>
            </w:pPr>
            <w:r>
              <w:rPr/>
              <w:t>Ended June 30, 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20" w:type="dxa"/>
            <w:gridSpan w:val="18"/>
            <w:tcBorders>
              <w:bottom w:val="single" w:sz="8" w:space="0" w:color="000000"/>
            </w:tcBorders>
            <w:tcMar>
              <w:bottom w:w="28" w:type="dxa"/>
            </w:tcMar>
            <w:vAlign w:val="bottom"/>
          </w:tcPr>
          <w:p>
            <w:pPr>
              <w:pStyle w:val="TableContents"/>
              <w:bidi w:val="0"/>
              <w:spacing w:before="0" w:after="283"/>
              <w:jc w:val="center"/>
              <w:rPr/>
            </w:pPr>
            <w:r>
              <w:rPr/>
              <w:t>Ended June 30, 2026</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t>GAAP</w:t>
              <w:b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t>Amortization</w:t>
              <w:br/>
              <w:t>of intangible</w:t>
              <w:br/>
              <w:t>assets from</w:t>
              <w:br/>
              <w:t>business</w:t>
              <w:br/>
              <w:t>acquisitions</w:t>
              <w:br/>
              <w:t>RMB</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pPr>
            <w:r>
              <w:rPr/>
              <w:t>Share-based</w:t>
              <w:br/>
              <w:t>compensation</w:t>
              <w:br/>
              <w:t>RMB</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t>Non-GAAP</w:t>
              <w:b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t>GAAP</w:t>
              <w:b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t>Amortization</w:t>
              <w:br/>
              <w:t>of intangible</w:t>
              <w:br/>
              <w:t>assets from</w:t>
              <w:br/>
              <w:t>business</w:t>
              <w:br/>
              <w:t>acquisitions</w:t>
              <w:br/>
              <w:t>RMB</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pPr>
            <w:r>
              <w:rPr/>
              <w:t>Share-based</w:t>
              <w:br/>
              <w:t>compensation</w:t>
              <w:br/>
              <w:t>RMB</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pPr>
            <w:r>
              <w:rPr/>
              <w:t>Tax</w:t>
              <w:br/>
              <w:t>impacts(iii)</w:t>
              <w:b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t>Non-GAAP</w:t>
              <w:b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pPr>
            <w:r>
              <w:rPr/>
              <w:t>GAAP</w:t>
              <w:b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t>Amortization</w:t>
              <w:br/>
              <w:t>of intangible</w:t>
              <w:br/>
              <w:t>assets from</w:t>
              <w:br/>
              <w:t>business</w:t>
              <w:br/>
              <w:t>acquisitions</w:t>
              <w:br/>
              <w:t>US$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pPr>
            <w:r>
              <w:rPr/>
              <w:t>Share-based</w:t>
              <w:br/>
              <w:t>compensation</w:t>
              <w:br/>
              <w:t>US$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pPr>
            <w:r>
              <w:rPr/>
              <w:t>Tax</w:t>
              <w:br/>
              <w:t>impacts(iii)</w:t>
              <w:br/>
              <w:t>US$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t>Non-GAAP</w:t>
              <w:br/>
              <w:t>US$</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(3,176,786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3,025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3,334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(3,170,427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(3,062,632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3,120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4,783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(3,054,729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(451,376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460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705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(450,211</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(379,628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1,999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19,770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(357,859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(360,055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3,313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20,208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(336,534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(53,066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488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2,978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(49,600</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(676,505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6,264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8,470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(661,771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(731,279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9,618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5,832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(715,829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(107,777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1,418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860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(105,499</w:t>
            </w:r>
          </w:p>
        </w:tc>
        <w:tc>
          <w:tcPr>
            <w:tcW w:w="155"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(229,350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47,087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(182,263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(195,084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30,628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(164,456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(28,752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4,514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(24,238</w:t>
            </w:r>
          </w:p>
        </w:tc>
        <w:tc>
          <w:tcPr>
            <w:tcW w:w="155"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2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2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 and operating expenses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(4,462,269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b/>
              </w:rPr>
            </w:pPr>
            <w:r>
              <w:rPr>
                <w:b/>
              </w:rPr>
              <w:t>11,288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b/>
              </w:rPr>
            </w:pPr>
            <w:r>
              <w:rPr>
                <w:b/>
              </w:rPr>
              <w:t>78,661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b/>
              </w:rPr>
            </w:pPr>
            <w:r>
              <w:rPr>
                <w:b/>
              </w:rPr>
              <w:t>(4,372,320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(4,349,050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b/>
              </w:rPr>
            </w:pPr>
            <w:r>
              <w:rPr>
                <w:b/>
              </w:rPr>
              <w:t>16,051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b/>
              </w:rPr>
            </w:pPr>
            <w:r>
              <w:rPr>
                <w:b/>
              </w:rPr>
              <w:t>61,451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b/>
              </w:rPr>
            </w:pPr>
            <w:r>
              <w:rPr>
                <w:b/>
              </w:rPr>
              <w:t>(4,271,548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b/>
              </w:rPr>
            </w:pPr>
            <w:r>
              <w:rPr>
                <w:b/>
              </w:rPr>
              <w:t>(640,971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b/>
              </w:rPr>
            </w:pPr>
            <w:r>
              <w:rPr>
                <w:b/>
              </w:rPr>
              <w:t>2,366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b/>
              </w:rPr>
            </w:pPr>
            <w:r>
              <w:rPr>
                <w:b/>
              </w:rPr>
              <w:t>9,057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b/>
              </w:rPr>
            </w:pPr>
            <w:r>
              <w:rPr>
                <w:b/>
              </w:rPr>
              <w:t>(629,548</w:t>
            </w:r>
          </w:p>
        </w:tc>
        <w:tc>
          <w:tcPr>
            <w:tcW w:w="155" w:type="dxa"/>
            <w:tcBorders/>
            <w:shd w:fill="CCEEFF" w:val="clear"/>
            <w:vAlign w:val="bottom"/>
          </w:tcPr>
          <w:p>
            <w:pPr>
              <w:pStyle w:val="TableContents"/>
              <w:bidi w:val="0"/>
              <w:spacing w:before="0" w:after="283"/>
              <w:jc w:val="left"/>
              <w:rPr>
                <w:b/>
              </w:rPr>
            </w:pPr>
            <w:r>
              <w:rPr>
                <w:b/>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702,981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11,288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78,661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792,930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547,743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16,051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61,451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625,245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80,727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2,366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9,057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92,150</w:t>
            </w:r>
          </w:p>
        </w:tc>
        <w:tc>
          <w:tcPr>
            <w:tcW w:w="155"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the shareholders of Hello Group Inc.</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217,790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11,288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78,661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307,739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528,483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16,051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right"/>
              <w:rPr/>
            </w:pPr>
            <w:r>
              <w:rPr/>
              <w:t>61,451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(3,249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602,736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77,889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2,366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9,057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(479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88,833</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tax impacts related to the amortization of intangible assets from business acquisitions. There is no tax impact related to share-based compensation.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5325</Words>
  <Characters>29024</Characters>
  <CharactersWithSpaces>36962</CharactersWithSpaces>
  <Paragraphs>4493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