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317500</wp:posOffset>
            </wp:positionH>
            <wp:positionV relativeFrom="page">
              <wp:posOffset>165100</wp:posOffset>
            </wp:positionV>
            <wp:extent cx="69138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page">
              <wp:posOffset>317500</wp:posOffset>
            </wp:positionH>
            <wp:positionV relativeFrom="page">
              <wp:posOffset>207645</wp:posOffset>
            </wp:positionV>
            <wp:extent cx="69138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3880" cy="8255"/>
                    </a:xfrm>
                    <a:prstGeom prst="rect">
                      <a:avLst/>
                    </a:prstGeom>
                    <a:noFill/>
                  </pic:spPr>
                </pic:pic>
              </a:graphicData>
            </a:graphic>
          </wp:anchor>
        </w:drawing>
        <w:t>UNITED STATES</w:t>
      </w:r>
    </w:p>
    <w:p>
      <w:pPr>
        <w:spacing w:after="0" w:line="2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2728595</wp:posOffset>
            </wp:positionH>
            <wp:positionV relativeFrom="paragraph">
              <wp:posOffset>221615</wp:posOffset>
            </wp:positionV>
            <wp:extent cx="1457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2728595</wp:posOffset>
            </wp:positionH>
            <wp:positionV relativeFrom="paragraph">
              <wp:posOffset>245110</wp:posOffset>
            </wp:positionV>
            <wp:extent cx="1457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left="2480" w:right="840"/>
        <w:spacing w:after="0" w:line="258"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4"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001-36765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2728595</wp:posOffset>
            </wp:positionH>
            <wp:positionV relativeFrom="paragraph">
              <wp:posOffset>247015</wp:posOffset>
            </wp:positionV>
            <wp:extent cx="1457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43"/>
          <w:szCs w:val="43"/>
          <w:b w:val="1"/>
          <w:bCs w:val="1"/>
          <w:color w:val="auto"/>
        </w:rPr>
        <w:t>Hello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2728595</wp:posOffset>
            </wp:positionH>
            <wp:positionV relativeFrom="paragraph">
              <wp:posOffset>251460</wp:posOffset>
            </wp:positionV>
            <wp:extent cx="1457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Building 203, Block A10</w:t>
      </w:r>
    </w:p>
    <w:p>
      <w:pPr>
        <w:spacing w:after="0" w:line="2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Jiuxianqiao North Road</w:t>
      </w:r>
    </w:p>
    <w:p>
      <w:pPr>
        <w:spacing w:after="0" w:line="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Chaoyang District, Beijing 100015</w:t>
      </w:r>
    </w:p>
    <w:p>
      <w:pPr>
        <w:spacing w:after="0" w:line="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ind w:left="42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2728595</wp:posOffset>
            </wp:positionH>
            <wp:positionV relativeFrom="paragraph">
              <wp:posOffset>215265</wp:posOffset>
            </wp:positionV>
            <wp:extent cx="1457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79" w:lineRule="exact"/>
        <w:rPr>
          <w:sz w:val="24"/>
          <w:szCs w:val="24"/>
          <w:color w:val="auto"/>
        </w:rPr>
      </w:pPr>
    </w:p>
    <w:p>
      <w:pPr>
        <w:ind w:left="41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6913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236220</wp:posOffset>
            </wp:positionV>
            <wp:extent cx="6913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ectPr>
          <w:pgSz w:w="11900" w:h="16838" w:orient="portrait"/>
          <w:cols w:equalWidth="0" w:num="1">
            <w:col w:w="9959"/>
          </w:cols>
          <w:pgMar w:left="500" w:top="373"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Index</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w:t>
      </w:r>
      <w:r>
        <w:rPr>
          <w:rFonts w:ascii="Times New Roman" w:cs="Times New Roman" w:eastAsia="Times New Roman" w:hAnsi="Times New Roman"/>
          <w:sz w:val="18"/>
          <w:szCs w:val="18"/>
          <w:u w:val="single" w:color="auto"/>
          <w:color w:val="0000EE"/>
        </w:rPr>
        <w:t>Press Release</w:t>
      </w:r>
    </w:p>
    <w:p>
      <w:pPr>
        <w:sectPr>
          <w:pgSz w:w="11900" w:h="16838" w:orient="portrait"/>
          <w:cols w:equalWidth="0" w:num="1">
            <w:col w:w="9959"/>
          </w:cols>
          <w:pgMar w:left="500" w:top="26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300" w:firstLine="435"/>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224" w:lineRule="exact"/>
        <w:rPr>
          <w:sz w:val="20"/>
          <w:szCs w:val="20"/>
          <w:color w:val="auto"/>
        </w:rPr>
      </w:pPr>
    </w:p>
    <w:tbl>
      <w:tblPr>
        <w:tblLayout w:type="fixed"/>
        <w:tblInd w:w="6540" w:type="dxa"/>
        <w:tblCellMar>
          <w:top w:w="0" w:type="dxa"/>
          <w:left w:w="0" w:type="dxa"/>
          <w:bottom w:w="0" w:type="dxa"/>
          <w:right w:w="0" w:type="dxa"/>
        </w:tblCellMar>
      </w:tblPr>
      <w:tr>
        <w:trPr>
          <w:trHeight w:val="2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/s/ Cathy Hui Peng</w:t>
            </w:r>
          </w:p>
        </w:tc>
      </w:tr>
      <w:tr>
        <w:trPr>
          <w:trHeight w:val="188"/>
        </w:trPr>
        <w:tc>
          <w:tcPr>
            <w:tcW w:w="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740" w:type="dxa"/>
            <w:vAlign w:val="bottom"/>
            <w:tcBorders>
              <w:top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Cathy Hui Peng</w:t>
            </w:r>
          </w:p>
        </w:tc>
      </w:tr>
      <w:tr>
        <w:trPr>
          <w:trHeight w:val="2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ectPr>
          <w:pgSz w:w="11900" w:h="16838" w:orient="portrait"/>
          <w:cols w:equalWidth="0" w:num="1">
            <w:col w:w="10880"/>
          </w:cols>
          <w:pgMar w:left="500" w:top="264"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Hello Group Inc. Announces Unaudited Financial Results for the First Quarter of 2026</w:t>
      </w:r>
    </w:p>
    <w:p>
      <w:pPr>
        <w:spacing w:after="0" w:line="11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BEIJING, CHINA, June 2, 2026 – Hello Group Inc. (NASDAQ: MOMO) (“Hello Group” or the “Company”), a leading player in Asia’s online social networking space, today announced its unaudited financial results for the first quarter of 2026.</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2026 Highlights</w:t>
      </w:r>
    </w:p>
    <w:p>
      <w:pPr>
        <w:spacing w:after="0" w:line="131" w:lineRule="exact"/>
        <w:rPr>
          <w:sz w:val="20"/>
          <w:szCs w:val="20"/>
          <w:color w:val="auto"/>
        </w:rPr>
      </w:pPr>
    </w:p>
    <w:p>
      <w:pPr>
        <w:ind w:left="960" w:hanging="426"/>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by 5.3% year over year to RMB2,386.0 million (US$345.9 million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the first quarter of 2026.</w:t>
      </w:r>
    </w:p>
    <w:p>
      <w:pPr>
        <w:spacing w:after="0" w:line="54" w:lineRule="exact"/>
        <w:rPr>
          <w:rFonts w:ascii="Times New Roman" w:cs="Times New Roman" w:eastAsia="Times New Roman" w:hAnsi="Times New Roman"/>
          <w:sz w:val="18"/>
          <w:szCs w:val="18"/>
          <w:color w:val="auto"/>
        </w:rPr>
      </w:pPr>
    </w:p>
    <w:p>
      <w:pPr>
        <w:ind w:left="960" w:hanging="426"/>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overseas increased by 44.1% year over year to RMB597.4 million (US$86.6 million) in the first quarter of 2026.</w:t>
      </w:r>
    </w:p>
    <w:p>
      <w:pPr>
        <w:spacing w:after="0" w:line="106" w:lineRule="exact"/>
        <w:rPr>
          <w:rFonts w:ascii="Times New Roman" w:cs="Times New Roman" w:eastAsia="Times New Roman" w:hAnsi="Times New Roman"/>
          <w:sz w:val="18"/>
          <w:szCs w:val="18"/>
          <w:color w:val="auto"/>
        </w:rPr>
      </w:pPr>
    </w:p>
    <w:p>
      <w:pPr>
        <w:ind w:left="960" w:right="380" w:hanging="426"/>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the shareholders of Hello Group Inc. was RMB291.0 million (US$42.2 million) in the first quarter of 2026, compared to RMB358.0 million in the same period of 2025.</w:t>
      </w:r>
    </w:p>
    <w:p>
      <w:pPr>
        <w:spacing w:after="0" w:line="69" w:lineRule="exact"/>
        <w:rPr>
          <w:rFonts w:ascii="Times New Roman" w:cs="Times New Roman" w:eastAsia="Times New Roman" w:hAnsi="Times New Roman"/>
          <w:sz w:val="18"/>
          <w:szCs w:val="18"/>
          <w:color w:val="auto"/>
        </w:rPr>
      </w:pPr>
    </w:p>
    <w:p>
      <w:pPr>
        <w:ind w:left="960" w:right="100" w:hanging="426"/>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attributable to the shareholders of Hello Group Inc. (note 1) was RMB328.8 million (US$47.7 million) in the first quarter of 2026, compared to RMB403.8 million in the same period of 2025.</w:t>
      </w:r>
    </w:p>
    <w:p>
      <w:pPr>
        <w:spacing w:after="0" w:line="69" w:lineRule="exact"/>
        <w:rPr>
          <w:rFonts w:ascii="Times New Roman" w:cs="Times New Roman" w:eastAsia="Times New Roman" w:hAnsi="Times New Roman"/>
          <w:sz w:val="18"/>
          <w:szCs w:val="18"/>
          <w:color w:val="auto"/>
        </w:rPr>
      </w:pPr>
    </w:p>
    <w:p>
      <w:pPr>
        <w:ind w:left="960" w:right="80" w:hanging="426"/>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American Depositary Share (“ADS”) was RMB1.81 (US$0.26) in the first quarter of 2026, compared to RMB2.07 in the same period of 2025.</w:t>
      </w:r>
    </w:p>
    <w:p>
      <w:pPr>
        <w:spacing w:after="0" w:line="69" w:lineRule="exact"/>
        <w:rPr>
          <w:rFonts w:ascii="Times New Roman" w:cs="Times New Roman" w:eastAsia="Times New Roman" w:hAnsi="Times New Roman"/>
          <w:sz w:val="18"/>
          <w:szCs w:val="18"/>
          <w:color w:val="auto"/>
        </w:rPr>
      </w:pPr>
    </w:p>
    <w:p>
      <w:pPr>
        <w:ind w:left="960" w:right="80" w:hanging="426"/>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net income per ADS (note 1) was RMB2.05 (US$0.30) in the first quarter of 2026, compared to RMB2.34 in the same period of 2025.</w:t>
      </w:r>
    </w:p>
    <w:p>
      <w:pPr>
        <w:spacing w:after="0" w:line="69" w:lineRule="exact"/>
        <w:rPr>
          <w:rFonts w:ascii="Times New Roman" w:cs="Times New Roman" w:eastAsia="Times New Roman" w:hAnsi="Times New Roman"/>
          <w:sz w:val="18"/>
          <w:szCs w:val="18"/>
          <w:color w:val="auto"/>
        </w:rPr>
      </w:pPr>
    </w:p>
    <w:p>
      <w:pPr>
        <w:ind w:left="960" w:right="100" w:hanging="426"/>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Momo app, total paying users were 3.7 million for the first quarter of 2026, compared to 4.2 million for the same period last year, and 3.9 million from last quarter. Tantan had 0.6 million paying users for the first quarter of 2026 compared to 0.8 million from the year ago period and 0.6 million from last quarter.</w:t>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the first quarter of 2026, the Group maintained steady business momentum.” commented Yan Tang, Chairman and CEO of Hello Group. “Guided by our strategic focus, our domestic business continued to sustain the healthy operation of the cash cow business through a focus on product innovation and refined operations. Leveraging the synergy of a diversified product portfolio, our overseas business has maintained a positive development trend. Looking ahead, we are confident in our ability to execute on the strategic roadmap for each business line in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2026 Financial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17"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Total net revenues were RMB2,386.0 million (US$345.9 million) in the first quarter of 2026, a decrease of 5.3% from RMB2,520.8 million in the first quarter of 2025.</w:t>
      </w:r>
    </w:p>
    <w:p>
      <w:pPr>
        <w:spacing w:after="0" w:line="16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Value-added service revenues mainly include virtual gift revenues from various audio, video and text-based scenarios, and membership subscription revenues. Total value-added service revenues were RMB2,353.6 million (US$341.2 million) in the first quarter of 2026, a decrease of 5.5% from RMB2,489.9 million during the same period of 2025. The decrease was primarily due to external factors that influenced the operational focus of certain broadcasters and agencies on Momo app, which are still in recovery, and to a lesser extent, the decline in Tantan resulting from a decline in user base. The decrease was largely offset by the revenue growth from our overseas apps, driven by the rapid expansion from multiple social entertainment and dating brands across our rich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62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39" w:lineRule="exact"/>
        <w:rPr>
          <w:sz w:val="20"/>
          <w:szCs w:val="20"/>
          <w:color w:val="auto"/>
        </w:rPr>
      </w:pPr>
    </w:p>
    <w:p>
      <w:pPr>
        <w:ind w:left="420" w:right="220" w:hanging="420"/>
        <w:spacing w:after="0" w:line="218" w:lineRule="auto"/>
        <w:tabs>
          <w:tab w:leader="none" w:pos="420"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press release contains translations of certain Renminbi amounts into U.S. dollars at specified rate solely for the convenience of readers. Unless otherwise noted, all translations from Renminbi to U.S. dollars, in this press release, were made at a rate of RMB6.8980 to US$1.00, the effective noon buying rate for March 31, 2026 as set forth in the H.10 statistical release of the Federal Reserve Board.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0"/>
          </w:cols>
          <w:pgMar w:left="500" w:top="117" w:right="519" w:bottom="1440" w:gutter="0" w:footer="0" w:header="0"/>
        </w:sectPr>
      </w:pPr>
    </w:p>
    <w:bookmarkStart w:id="4" w:name="page5"/>
    <w:bookmarkEnd w:id="4"/>
    <w:p>
      <w:pPr>
        <w:ind w:right="14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Other services revenues were RMB32.3 million (US$4.7 million) in the first quarter of 2026, compared to RMB30.9 million during the same period of 2025.</w:t>
      </w:r>
    </w:p>
    <w:p>
      <w:pPr>
        <w:spacing w:after="0" w:line="1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Net revenues from Chinese mainland decreased from RMB2,106.2 million in the first quarter of 2025 to RMB1,788.6 million (US$259.3 million) in the first quarter of 2026, primarily due to the decrease in net revenues from Momo app and Tantan app. Net revenues from overseas increased from RMB414.6 million in the first quarter of 2025 to RMB597.4 million (US$86.6 million) in the first quarter of 2026, driven by the growth of audio- and video-based products in the Middle East and North Africa (“MENA”) region, primarily by the new apps, along with incremental revenue from dating brands outside of MENA.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Cost and expenses were RMB2,088.7 million (US$302.8 million) in the first quarter of 2026, a decrease of 6.5% from RMB2,234.5 million in the first quarter of 2025. The decrease was primarily attributable to: (a) a decrease in revenue sharing with broadcasters on Momo app, partially offset by an increased revenue sharing with virtual gift recipients on overseas apps; (b) a decrease in salary expenses and share-based compensation expenses, due to our continuous optimization in personnel costs and the newly granted share options which had lower fair value; and (c) partially offset by increased investment in marketing for our new overseas apps while we continued to reduce marketing expenses for China apps.</w:t>
      </w:r>
    </w:p>
    <w:p>
      <w:pPr>
        <w:spacing w:after="0" w:line="186"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Non-GAAP cost and expenses (note 1) were RMB2,049.3 million (US$297.1 million) in the first quarter of 2026, compared to RMB2,188.8 million during the same period of 2025.</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1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Income from operations was RMB309.7 million (US$44.9 million) in the first quarter of 2026, compared to RMB299.5 million during the same period of 2025.</w:t>
      </w:r>
    </w:p>
    <w:p>
      <w:pPr>
        <w:spacing w:after="0" w:line="16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Non-GAAP income from operations (note 1) was RMB349.2 million (US$50.6 million) in the first quarter of 2026, compared to RMB345.3 million during the same period of 2025.</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Interest income was RMB54.0 million (US$7.8 million) in the first quarter of 2026, compared to RMB120.3 million during the same period of 2025. The decrease was primarily attributable to: (a) a reduction in the total volume of interest-bearing funds, as a result of bank loan repayments, the distribution of a special cash dividend, settlement of withholding tax accrued for prior periods, certain acquisitions and investments, and payment under the Company’s Share Repurchase Program; (b) a lower proportion of high-yield US dollar funds in the total funds; and (c) a drop in the yield of both US dollar and RMB funds due to falling market interest rates.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500" w:top="268"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Income tax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 were RMB79.9 million (US$11.6 million) in the first quarter of 2026, compared to RMB70.4 million in the first quarter of 2025.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income on equity method investments</w:t>
      </w:r>
    </w:p>
    <w:p>
      <w:pPr>
        <w:spacing w:after="0" w:line="117"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7"/>
          <w:szCs w:val="17"/>
          <w:color w:val="auto"/>
        </w:rPr>
        <w:t>Share of income on equity method investments was RMB8.5 million (US$1.2 million) in the first quarter of 2026, compared to RMB39.7 million during the same period of 2025. The decrease was primarily attributable to lower fair value gains recognized from an investment in an open mutual fund.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RMB291.5 million (US$42.3 million) in the first quarter of 2026, compared to RMB358.5 million during the same period of 2025.</w:t>
      </w:r>
    </w:p>
    <w:p>
      <w:pPr>
        <w:spacing w:after="0" w:line="22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Non-GAAP net income (note 1) was RMB329.3 million (US$47.7 million) in the first quarter of 2026, compared to RMB404.3 million during the same period of 2025.</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the shareholders of Hello Group Inc.</w:t>
      </w:r>
    </w:p>
    <w:p>
      <w:pPr>
        <w:spacing w:after="0" w:line="117"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color w:val="auto"/>
        </w:rPr>
        <w:t>Net income attributable to the shareholders of Hello Group Inc. was RMB291.0 million (US$42.2 million) in the first quarter of 2026, compared to RMB358.0 million during the same period of 2025.</w:t>
      </w:r>
    </w:p>
    <w:p>
      <w:pPr>
        <w:spacing w:after="0" w:line="16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Non-GAAP net income (note 1) attributable to the shareholders of Hello Group Inc. was RMB328.8 million (US$47.7 million) in the first quarter of 2026, compared to RMB403.8 million during the same period of 2025.</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ADS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net income per ADS was RMB1.81 (US$0.26) in the first quarter of 2026, compared to RMB2.07 in the first quarter of 2025.</w:t>
      </w:r>
    </w:p>
    <w:p>
      <w:pPr>
        <w:spacing w:after="0" w:line="220"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color w:val="auto"/>
        </w:rPr>
        <w:t>Non-GAAP diluted net income per ADS (note 1) was RMB2.05 (US$0.30) in the first quarter of 2026, compared to RMB2.34 in the first quarter of 2025.</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flow</w:t>
      </w:r>
    </w:p>
    <w:p>
      <w:pPr>
        <w:spacing w:after="0" w:line="117"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color w:val="auto"/>
        </w:rPr>
        <w:t>As of March 31, 2026, the Company’s cash, cash equivalents, short-term deposits, short-term investments, short-term restricted cash and long-term deposits totaled RMB8,561.0 million (US$1,241.1 million), compared to RMB8,677.6 million as of December 31, 2025.</w:t>
      </w:r>
    </w:p>
    <w:p>
      <w:pPr>
        <w:spacing w:after="0" w:line="163"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Net cash provided by operating activities in the first quarter of 2026 was RMB158.9 million (US$23.0 million), compared to RMB239.7 million in the first quarter of 2025.</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a special cash dividend</w:t>
      </w:r>
    </w:p>
    <w:p>
      <w:pPr>
        <w:spacing w:after="0" w:line="11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 March 2026, Hello Group’s board of directors declared a special cash dividend in the amount of US$0.28 per ADS, or US$0.14 per ordinary share. The cash dividend was paid in April 2026 to shareholders of record at the close of business on April 10, 2026. The aggregate amount of cash dividends paid was US$41.2 million.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500" w:top="264"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 repurchase program</w:t>
      </w:r>
    </w:p>
    <w:p>
      <w:pPr>
        <w:spacing w:after="0" w:line="115"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As of June 2, 2026, the Company has repurchased 63.7 million ADSs for US$399.5 million on the open market under the Share Repurchase Program announced on June 7, 2022 and amended on March 14, 2024 and March 12, 2025, at an average purchase price of US$6.25 per ADS. The remaining size of the program is US$86.6 million.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For the second quarter of 2026, the Company expects total net revenues to be between RMB2.45 billion and RMB2.55 billion, representing a decrease of 6.5% to 2.7% year over year. This forecast reflects the Company’s current and preliminary views on the market and operational conditions, which are subject to change.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Non-GAAP measures</w:t>
      </w:r>
    </w:p>
    <w:p>
      <w:pPr>
        <w:spacing w:after="0" w:line="11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7"/>
          <w:szCs w:val="17"/>
          <w:color w:val="auto"/>
        </w:rPr>
        <w:t>To supplement our consolidated financial statements presented in accordance with U.S. generally accepted accounting principles (“GAAP”), we, Hello Group, use various non-GAAP financial measures that are adjusted from the most comparable GAAP results to exclude share-based compensation, amortization of intangible assets from business acquisitions and tax impacts related to the amortization of intangible assets from business acquisitions.</w:t>
      </w:r>
    </w:p>
    <w:p>
      <w:pPr>
        <w:spacing w:after="0" w:line="16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Reconciliations of our non-GAAP financial measures to our U.S. GAAP financial measures are shown in tables at the end of this earnings release, which provide more details about the non-GAAP financial measures.</w:t>
      </w:r>
    </w:p>
    <w:p>
      <w:pPr>
        <w:spacing w:after="0" w:line="16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non-GAAP financial information is provided as additional information to help investors compare business trends among different reporting periods on a consistent basis and to enhance investors’ overall understanding of the historical and current financial performance of our continuing operations and our prospects for the future. Our non-GAAP financial information should be considered in addition to results prepared in accordance with GAAP, but should not be considered a substitute for or superior to the GAAP results. In addition, our calculation of the non-GAAP financial measures may be different from the calculation used by other companies, and therefore comparability may be limited.</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non-GAAP information (including non-GAAP cost and operating expenses, income from operations, net income, net income attributable to the shareholders of Hello Group Inc., and diluted net income per ADS) is adjusted from the most comparable GAAP results to exclude share-based compensation, amortization of intangible assets from business acquisitions, and tax impacts related to the amortization of intangible assets from business acquisitions. A limitation of using these non-GAAP financial measures is that share-based compensation, amortization of intangible assets from business acquisitions and tax impacts related to the amortization of intangible assets from business acquisitions have been and will continue to be for the foreseeable future significant recurring expenses in our results of operations. We compensate for such limitation by providing reconciliations of our non-GAAP measures to our U.S. GAAP measures. Please see the reconciliation tables at the end of this earnings release.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1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Hello Group’s management will host an earnings conference call on Tuesday, June 2, 2026, at 7:00 a.m. U.S. Eastern Time (7:00 p.m. Beijing / Hong Kong Time on June 2, 2026).</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6"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Participants can register for the conference call by navigating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https://s1.c-conf.com/diamondpass/10054808-suvwn2.html.</w:t>
      </w:r>
    </w:p>
    <w:p>
      <w:pPr>
        <w:spacing w:after="0" w:line="22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Upon registration, each participant will receive details for the conference call, including dial-in numbers, conference call passcode and a unique access PIN. Please dial in 10 minutes before the call is scheduled to begin.</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A telephone replay of the call will be available after the conclusion of the conference call through June 10, 2026. The dial-in details for the replay are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 Canada: 1-855-883-1031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800-930-639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Passcode: 10054808</w:t>
      </w:r>
    </w:p>
    <w:p>
      <w:pPr>
        <w:spacing w:after="0" w:line="201"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18"/>
          <w:szCs w:val="18"/>
          <w:color w:val="auto"/>
        </w:rPr>
        <w:t>Additionally, a live and archived webcast of the conference call will be available on the Investor Relations section of Hello Group’s website at https://ir.hellogroup.com.</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Hello Group Inc.</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 leading player in Asia’s online social networking space. Through Momo, Tantan and other properties within our product portfolio, we enable users to discover new relationships, expand their social connections and build meaningful interactions. Momo is a mobile application that connects people and facilitates social interactions based on location, interests and a variety of online recreational activities. Tantan, which was added into our family of applications through acquisition in May 2018, is a leading social and dating application. Tantan is designed to help its users find and establish romantic connections as well as meet interesting people. Since 2019, we have continuously expanded our portfolio through internal incubation and strategic acquisitions, adding apps such as Hertz, Soulchill, and Happn. These products target more niche markets and selective user demographics both domestically and internationally, further strengthening our global presence.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+852-3157-1669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ir@hellogroup.com</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Christensen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Xiaoyan Su</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+86-10-5900-1548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Xiaoyan.Su@christensencomms.com</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20"/>
          </w:cols>
          <w:pgMar w:left="500" w:top="268" w:right="5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Safe Harbor Statement</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as amended, and Section 21E of the Securities Exchange Act of 1934, as amended, and as defined in the Private Securities Litigation Reform Act of 1995. These forward-looking statements include but are not limited to our management quotes, our financial outlook for the second quarter of 2026, as well as the amount of, timing, methods and funding sources for repurchases of our shares under the share repurchase program.</w:t>
      </w:r>
    </w:p>
    <w:p>
      <w:pPr>
        <w:spacing w:after="0" w:line="18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forward-looking statements are not historical facts but instead represent only our belief regarding expected results and events, many of which, by their nature, are inherently uncertain and outside of our control. Our actual results and other circumstances may differ, possibly materially, from the anticipated results and events indicated in these forward-looking statements. Announced results for the first quarter of 2026 are preliminary, unaudited and subject to audit adjustment. In addition, we may not meet our financial outlook for the second quarter of 2026 and may be unable to grow our business in the manner planned. We may also modify our strategy for growth. Moreover, there are other risks and uncertainties that could cause our actual results to differ from what we currently anticipate, including those relating to our ability to retain and grow our user base, our ability to attract and retain sufficiently trained professionals to support our operations, our ability to anticipate and develop new services and enhance existing services to meet the demand of our users or customers, the market price of the Company’s stock prevailing from time to time, the nature of other investment opportunities presented to the Company from time to time, the Company’s cash flows from operations, general economic conditions, and other factors. For additional information on these and other important factors that could adversely affect our business, financial condition, results of operations, and prospects, please see our filings with the U.S. Securities and Exchange Commission.</w:t>
      </w:r>
    </w:p>
    <w:p>
      <w:pPr>
        <w:spacing w:after="0" w:line="19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 xml:space="preserve">All information provided in this press release and in the attachments is as of the date of the press release. We undertake no obligation to update any forward-looking statement, whether as a result of new information, future events or otherwise, after the date of this release, except as required by law. Such information speaks only as of the date of this release.       </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500" w:top="264" w:right="5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Hello Group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and per share data)</w:t>
      </w:r>
    </w:p>
    <w:p>
      <w:pPr>
        <w:spacing w:after="0" w:line="223"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color w:val="auto"/>
        </w:rPr>
        <w:t>Three months</w:t>
      </w:r>
    </w:p>
    <w:p>
      <w:pPr>
        <w:jc w:val="center"/>
        <w:ind w:left="7260"/>
        <w:spacing w:after="0" w:line="231" w:lineRule="auto"/>
        <w:rPr>
          <w:sz w:val="20"/>
          <w:szCs w:val="20"/>
          <w:color w:val="auto"/>
        </w:rPr>
      </w:pPr>
      <w:r>
        <w:rPr>
          <w:rFonts w:ascii="Times New Roman" w:cs="Times New Roman" w:eastAsia="Times New Roman" w:hAnsi="Times New Roman"/>
          <w:sz w:val="14"/>
          <w:szCs w:val="14"/>
          <w:color w:val="auto"/>
        </w:rPr>
        <w:t>Ended March 31</w:t>
      </w:r>
    </w:p>
    <w:tbl>
      <w:tblPr>
        <w:tblLayout w:type="fixed"/>
        <w:tblInd w:w="0" w:type="dxa"/>
        <w:tblCellMar>
          <w:top w:w="0" w:type="dxa"/>
          <w:left w:w="0" w:type="dxa"/>
          <w:bottom w:w="0" w:type="dxa"/>
          <w:right w:w="0" w:type="dxa"/>
        </w:tblCellMar>
      </w:tblPr>
      <w:tr>
        <w:trPr>
          <w:trHeight w:val="117"/>
        </w:trPr>
        <w:tc>
          <w:tcPr>
            <w:tcW w:w="7400" w:type="dxa"/>
            <w:vAlign w:val="bottom"/>
          </w:tcPr>
          <w:p>
            <w:pPr>
              <w:spacing w:after="0"/>
              <w:rPr>
                <w:sz w:val="10"/>
                <w:szCs w:val="10"/>
                <w:color w:val="auto"/>
              </w:rPr>
            </w:pPr>
          </w:p>
        </w:tc>
        <w:tc>
          <w:tcPr>
            <w:tcW w:w="960" w:type="dxa"/>
            <w:vAlign w:val="bottom"/>
            <w:tcBorders>
              <w:top w:val="single" w:sz="8" w:color="auto"/>
            </w:tcBorders>
          </w:tcPr>
          <w:p>
            <w:pPr>
              <w:jc w:val="right"/>
              <w:ind w:right="253"/>
              <w:spacing w:after="0" w:line="118" w:lineRule="exact"/>
              <w:rPr>
                <w:sz w:val="20"/>
                <w:szCs w:val="20"/>
                <w:color w:val="auto"/>
              </w:rPr>
            </w:pPr>
            <w:r>
              <w:rPr>
                <w:rFonts w:ascii="Times New Roman" w:cs="Times New Roman" w:eastAsia="Times New Roman" w:hAnsi="Times New Roman"/>
                <w:sz w:val="13"/>
                <w:szCs w:val="13"/>
                <w:color w:val="auto"/>
              </w:rPr>
              <w:t>2025</w:t>
            </w: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53"/>
              <w:spacing w:after="0" w:line="118" w:lineRule="exact"/>
              <w:rPr>
                <w:sz w:val="20"/>
                <w:szCs w:val="20"/>
                <w:color w:val="auto"/>
              </w:rPr>
            </w:pPr>
            <w:r>
              <w:rPr>
                <w:rFonts w:ascii="Times New Roman" w:cs="Times New Roman" w:eastAsia="Times New Roman" w:hAnsi="Times New Roman"/>
                <w:sz w:val="13"/>
                <w:szCs w:val="13"/>
                <w:color w:val="auto"/>
              </w:rPr>
              <w:t>2026</w:t>
            </w: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53"/>
              <w:spacing w:after="0" w:line="118" w:lineRule="exact"/>
              <w:rPr>
                <w:sz w:val="20"/>
                <w:szCs w:val="20"/>
                <w:color w:val="auto"/>
              </w:rPr>
            </w:pPr>
            <w:r>
              <w:rPr>
                <w:rFonts w:ascii="Times New Roman" w:cs="Times New Roman" w:eastAsia="Times New Roman" w:hAnsi="Times New Roman"/>
                <w:sz w:val="13"/>
                <w:szCs w:val="13"/>
                <w:color w:val="auto"/>
              </w:rPr>
              <w:t>2026</w:t>
            </w:r>
          </w:p>
        </w:tc>
        <w:tc>
          <w:tcPr>
            <w:tcW w:w="120" w:type="dxa"/>
            <w:vAlign w:val="bottom"/>
          </w:tcPr>
          <w:p>
            <w:pPr>
              <w:spacing w:after="0"/>
              <w:rPr>
                <w:sz w:val="10"/>
                <w:szCs w:val="10"/>
                <w:color w:val="auto"/>
              </w:rPr>
            </w:pPr>
          </w:p>
        </w:tc>
      </w:tr>
      <w:tr>
        <w:trPr>
          <w:trHeight w:val="169"/>
        </w:trPr>
        <w:tc>
          <w:tcPr>
            <w:tcW w:w="740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RMB</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RMB</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US$</w:t>
            </w:r>
          </w:p>
        </w:tc>
      </w:tr>
      <w:tr>
        <w:trPr>
          <w:trHeight w:val="193"/>
        </w:trPr>
        <w:tc>
          <w:tcPr>
            <w:tcW w:w="74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revenues(i):</w:t>
            </w: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Value-added service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2,489,902</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2,353,649</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341,207</w:t>
            </w:r>
          </w:p>
        </w:tc>
      </w:tr>
      <w:tr>
        <w:trPr>
          <w:trHeight w:val="21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services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30,933</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32,327</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4,687</w:t>
            </w:r>
          </w:p>
        </w:tc>
      </w:tr>
      <w:tr>
        <w:trPr>
          <w:trHeight w:val="22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2,520,835</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2,385,976</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345,894</w:t>
            </w:r>
          </w:p>
        </w:tc>
        <w:tc>
          <w:tcPr>
            <w:tcW w:w="120" w:type="dxa"/>
            <w:vAlign w:val="bottom"/>
          </w:tcPr>
          <w:p>
            <w:pPr>
              <w:spacing w:after="0"/>
              <w:rPr>
                <w:sz w:val="19"/>
                <w:szCs w:val="19"/>
                <w:color w:val="auto"/>
              </w:rPr>
            </w:pP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(1,569,074)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(1,463,328)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(212,138)</w:t>
            </w:r>
          </w:p>
        </w:tc>
      </w:tr>
      <w:tr>
        <w:trPr>
          <w:trHeight w:val="21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(195,769)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(177,106)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(25,675)</w:t>
            </w: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(329,178)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(343,241)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(49,759)</w:t>
            </w:r>
          </w:p>
        </w:tc>
      </w:tr>
      <w:tr>
        <w:trPr>
          <w:trHeight w:val="21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(140,511)</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(105,048)</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(15,229)</w:t>
            </w:r>
          </w:p>
        </w:tc>
      </w:tr>
      <w:tr>
        <w:trPr>
          <w:trHeight w:val="22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and expenses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(2,234,532)</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(2,088,723)</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(302,801)</w:t>
            </w:r>
          </w:p>
        </w:tc>
        <w:tc>
          <w:tcPr>
            <w:tcW w:w="120" w:type="dxa"/>
            <w:vAlign w:val="bottom"/>
          </w:tcPr>
          <w:p>
            <w:pPr>
              <w:spacing w:after="0"/>
              <w:rPr>
                <w:sz w:val="19"/>
                <w:szCs w:val="19"/>
                <w:color w:val="auto"/>
              </w:rPr>
            </w:pP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13,182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12,490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1,811</w:t>
            </w:r>
          </w:p>
        </w:tc>
      </w:tr>
      <w:tr>
        <w:trPr>
          <w:trHeight w:val="22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299,485</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309,743</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44,904</w:t>
            </w:r>
          </w:p>
        </w:tc>
        <w:tc>
          <w:tcPr>
            <w:tcW w:w="120" w:type="dxa"/>
            <w:vAlign w:val="bottom"/>
          </w:tcPr>
          <w:p>
            <w:pPr>
              <w:spacing w:after="0"/>
              <w:rPr>
                <w:sz w:val="19"/>
                <w:szCs w:val="19"/>
                <w:color w:val="auto"/>
              </w:rPr>
            </w:pP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120,338</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54,017</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7,831</w:t>
            </w: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(30,659)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 or loss, net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2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and share of income on equity method investments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389,164</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362,813</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52,597</w:t>
            </w:r>
          </w:p>
        </w:tc>
        <w:tc>
          <w:tcPr>
            <w:tcW w:w="120" w:type="dxa"/>
            <w:vAlign w:val="bottom"/>
          </w:tcPr>
          <w:p>
            <w:pPr>
              <w:spacing w:after="0"/>
              <w:rPr>
                <w:sz w:val="19"/>
                <w:szCs w:val="19"/>
                <w:color w:val="auto"/>
              </w:rPr>
            </w:pP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(70,406)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(79,850)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(11,576)</w:t>
            </w:r>
          </w:p>
        </w:tc>
      </w:tr>
      <w:tr>
        <w:trPr>
          <w:trHeight w:val="22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share of income on equity method investments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318,758</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282,963</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41,021</w:t>
            </w:r>
          </w:p>
        </w:tc>
        <w:tc>
          <w:tcPr>
            <w:tcW w:w="120" w:type="dxa"/>
            <w:vAlign w:val="bottom"/>
          </w:tcPr>
          <w:p>
            <w:pPr>
              <w:spacing w:after="0"/>
              <w:rPr>
                <w:sz w:val="19"/>
                <w:szCs w:val="19"/>
                <w:color w:val="auto"/>
              </w:rPr>
            </w:pP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on equity method investments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39,731</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8,538</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1,238</w:t>
            </w:r>
          </w:p>
        </w:tc>
      </w:tr>
      <w:tr>
        <w:trPr>
          <w:trHeight w:val="22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358,489</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291,501</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42,259</w:t>
            </w:r>
          </w:p>
        </w:tc>
        <w:tc>
          <w:tcPr>
            <w:tcW w:w="12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r>
      <w:tr>
        <w:trPr>
          <w:trHeight w:val="22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shareholders of Hello Group Inc.</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357,994</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291,048</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42,193</w:t>
            </w:r>
          </w:p>
        </w:tc>
        <w:tc>
          <w:tcPr>
            <w:tcW w:w="12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attributable to ordinary shareholders</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0.92</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r>
      <w:tr>
        <w:trPr>
          <w:trHeight w:val="21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0.91</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net income per ordinary share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339,405,347</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315,359,212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315,359,212</w:t>
            </w:r>
          </w:p>
        </w:tc>
      </w:tr>
      <w:tr>
        <w:trPr>
          <w:trHeight w:val="232"/>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345,905,274</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321,322,687</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321,322,687</w:t>
            </w:r>
          </w:p>
        </w:tc>
      </w:tr>
    </w:tbl>
    <w:p>
      <w:pPr>
        <w:spacing w:after="0" w:line="203" w:lineRule="exact"/>
        <w:rPr>
          <w:sz w:val="20"/>
          <w:szCs w:val="20"/>
          <w:color w:val="auto"/>
        </w:rPr>
      </w:pPr>
    </w:p>
    <w:p>
      <w:pPr>
        <w:ind w:left="420" w:hanging="42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revenues by geographic area based on the addresses of our customers of our users: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Three months</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Ended March 31</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80" w:type="dxa"/>
            <w:vAlign w:val="bottom"/>
          </w:tcPr>
          <w:p>
            <w:pPr>
              <w:jc w:val="right"/>
              <w:ind w:right="161"/>
              <w:spacing w:after="0" w:line="118" w:lineRule="exact"/>
              <w:rPr>
                <w:sz w:val="20"/>
                <w:szCs w:val="20"/>
                <w:color w:val="auto"/>
              </w:rPr>
            </w:pPr>
            <w:r>
              <w:rPr>
                <w:rFonts w:ascii="Times New Roman" w:cs="Times New Roman" w:eastAsia="Times New Roman" w:hAnsi="Times New Roman"/>
                <w:sz w:val="13"/>
                <w:szCs w:val="13"/>
                <w:color w:val="auto"/>
              </w:rPr>
              <w:t>2025</w:t>
            </w:r>
          </w:p>
        </w:tc>
        <w:tc>
          <w:tcPr>
            <w:tcW w:w="940" w:type="dxa"/>
            <w:vAlign w:val="bottom"/>
            <w:gridSpan w:val="2"/>
          </w:tcPr>
          <w:p>
            <w:pPr>
              <w:jc w:val="right"/>
              <w:ind w:right="177"/>
              <w:spacing w:after="0" w:line="118" w:lineRule="exact"/>
              <w:rPr>
                <w:sz w:val="20"/>
                <w:szCs w:val="20"/>
                <w:color w:val="auto"/>
              </w:rPr>
            </w:pPr>
            <w:r>
              <w:rPr>
                <w:rFonts w:ascii="Times New Roman" w:cs="Times New Roman" w:eastAsia="Times New Roman" w:hAnsi="Times New Roman"/>
                <w:sz w:val="13"/>
                <w:szCs w:val="13"/>
                <w:color w:val="auto"/>
              </w:rPr>
              <w:t>2026</w:t>
            </w:r>
          </w:p>
        </w:tc>
        <w:tc>
          <w:tcPr>
            <w:tcW w:w="160" w:type="dxa"/>
            <w:vAlign w:val="bottom"/>
          </w:tcPr>
          <w:p>
            <w:pPr>
              <w:spacing w:after="0"/>
              <w:rPr>
                <w:sz w:val="10"/>
                <w:szCs w:val="10"/>
                <w:color w:val="auto"/>
              </w:rPr>
            </w:pPr>
          </w:p>
        </w:tc>
        <w:tc>
          <w:tcPr>
            <w:tcW w:w="640" w:type="dxa"/>
            <w:vAlign w:val="bottom"/>
          </w:tcPr>
          <w:p>
            <w:pPr>
              <w:jc w:val="right"/>
              <w:ind w:right="99"/>
              <w:spacing w:after="0" w:line="118" w:lineRule="exact"/>
              <w:rPr>
                <w:sz w:val="20"/>
                <w:szCs w:val="20"/>
                <w:color w:val="auto"/>
              </w:rPr>
            </w:pPr>
            <w:r>
              <w:rPr>
                <w:rFonts w:ascii="Times New Roman" w:cs="Times New Roman" w:eastAsia="Times New Roman" w:hAnsi="Times New Roman"/>
                <w:sz w:val="13"/>
                <w:szCs w:val="13"/>
                <w:color w:val="auto"/>
              </w:rPr>
              <w:t>2026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4"/>
                <w:szCs w:val="14"/>
                <w:color w:val="auto"/>
              </w:rPr>
              <w:t>RMB</w:t>
            </w:r>
          </w:p>
        </w:tc>
        <w:tc>
          <w:tcPr>
            <w:tcW w:w="16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RMB</w:t>
            </w: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07"/>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49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2,106,233</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1,788,568</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259,288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Overseas</w:t>
            </w:r>
          </w:p>
        </w:tc>
        <w:tc>
          <w:tcPr>
            <w:tcW w:w="49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414,602</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597,408</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2,520,835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2,385,976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345,894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980" w:type="dxa"/>
            <w:vAlign w:val="bottom"/>
            <w:vMerge w:val="restart"/>
          </w:tcPr>
          <w:p>
            <w:pPr>
              <w:jc w:val="right"/>
              <w:ind w:right="2751"/>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34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500" w:top="264" w:right="5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Hello Group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and per share data)</w:t>
      </w:r>
    </w:p>
    <w:p>
      <w:pPr>
        <w:spacing w:after="0" w:line="223"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color w:val="auto"/>
        </w:rPr>
        <w:t>Three months</w:t>
      </w:r>
    </w:p>
    <w:p>
      <w:pPr>
        <w:jc w:val="center"/>
        <w:ind w:left="8340"/>
        <w:spacing w:after="0" w:line="231" w:lineRule="auto"/>
        <w:rPr>
          <w:sz w:val="20"/>
          <w:szCs w:val="20"/>
          <w:color w:val="auto"/>
        </w:rPr>
      </w:pPr>
      <w:r>
        <w:rPr>
          <w:rFonts w:ascii="Times New Roman" w:cs="Times New Roman" w:eastAsia="Times New Roman" w:hAnsi="Times New Roman"/>
          <w:sz w:val="14"/>
          <w:szCs w:val="14"/>
          <w:color w:val="auto"/>
        </w:rPr>
        <w:t>Ended March 31</w:t>
      </w:r>
    </w:p>
    <w:tbl>
      <w:tblPr>
        <w:tblLayout w:type="fixed"/>
        <w:tblInd w:w="0" w:type="dxa"/>
        <w:tblCellMar>
          <w:top w:w="0" w:type="dxa"/>
          <w:left w:w="0" w:type="dxa"/>
          <w:bottom w:w="0" w:type="dxa"/>
          <w:right w:w="0" w:type="dxa"/>
        </w:tblCellMar>
      </w:tblPr>
      <w:tr>
        <w:trPr>
          <w:trHeight w:val="140"/>
        </w:trPr>
        <w:tc>
          <w:tcPr>
            <w:tcW w:w="84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0" w:lineRule="exact"/>
              <w:rPr>
                <w:sz w:val="20"/>
                <w:szCs w:val="20"/>
                <w:color w:val="auto"/>
              </w:rPr>
            </w:pPr>
            <w:r>
              <w:rPr>
                <w:rFonts w:ascii="Times New Roman" w:cs="Times New Roman" w:eastAsia="Times New Roman" w:hAnsi="Times New Roman"/>
                <w:sz w:val="14"/>
                <w:szCs w:val="14"/>
                <w:color w:val="auto"/>
              </w:rPr>
              <w:t>2026</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0"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6"/>
              <w:spacing w:after="0" w:line="140" w:lineRule="exact"/>
              <w:rPr>
                <w:sz w:val="20"/>
                <w:szCs w:val="20"/>
                <w:color w:val="auto"/>
              </w:rPr>
            </w:pPr>
            <w:r>
              <w:rPr>
                <w:rFonts w:ascii="Times New Roman" w:cs="Times New Roman" w:eastAsia="Times New Roman" w:hAnsi="Times New Roman"/>
                <w:sz w:val="14"/>
                <w:szCs w:val="14"/>
                <w:color w:val="auto"/>
              </w:rPr>
              <w:t>RMB</w:t>
            </w: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76"/>
              <w:spacing w:after="0" w:line="140"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6"/>
              <w:spacing w:after="0" w:line="140" w:lineRule="exact"/>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358,489</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291,501</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(43,338)</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(74,295)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(10,771)</w:t>
            </w:r>
          </w:p>
        </w:tc>
        <w:tc>
          <w:tcPr>
            <w:tcW w:w="0" w:type="dxa"/>
            <w:vAlign w:val="bottom"/>
          </w:tcPr>
          <w:p>
            <w:pPr>
              <w:spacing w:after="0"/>
              <w:rPr>
                <w:sz w:val="1"/>
                <w:szCs w:val="1"/>
                <w:color w:val="auto"/>
              </w:rPr>
            </w:pPr>
          </w:p>
        </w:tc>
      </w:tr>
      <w:tr>
        <w:trPr>
          <w:trHeight w:val="220"/>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315,151</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217,206</w:t>
            </w: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loss attributed to the non-controlling interest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0"/>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the shareholders of Hello Group Inc.</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315,750</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219,906</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5400"/>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84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500" w:top="264" w:right="5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Hello Group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December 31</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March 31</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March 31</w:t>
            </w:r>
          </w:p>
        </w:tc>
      </w:tr>
      <w:tr>
        <w:trPr>
          <w:trHeight w:val="147"/>
        </w:trPr>
        <w:tc>
          <w:tcPr>
            <w:tcW w:w="8040" w:type="dxa"/>
            <w:vAlign w:val="bottom"/>
          </w:tcPr>
          <w:p>
            <w:pPr>
              <w:spacing w:after="0"/>
              <w:rPr>
                <w:sz w:val="12"/>
                <w:szCs w:val="12"/>
                <w:color w:val="auto"/>
              </w:rPr>
            </w:pPr>
          </w:p>
        </w:tc>
        <w:tc>
          <w:tcPr>
            <w:tcW w:w="840" w:type="dxa"/>
            <w:vAlign w:val="bottom"/>
          </w:tcPr>
          <w:p>
            <w:pPr>
              <w:jc w:val="right"/>
              <w:ind w:right="193"/>
              <w:spacing w:after="0" w:line="147" w:lineRule="exact"/>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2026</w:t>
            </w:r>
          </w:p>
        </w:tc>
        <w:tc>
          <w:tcPr>
            <w:tcW w:w="16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2026</w:t>
            </w:r>
          </w:p>
        </w:tc>
        <w:tc>
          <w:tcPr>
            <w:tcW w:w="40" w:type="dxa"/>
            <w:vAlign w:val="bottom"/>
          </w:tcPr>
          <w:p>
            <w:pPr>
              <w:spacing w:after="0"/>
              <w:rPr>
                <w:sz w:val="12"/>
                <w:szCs w:val="12"/>
                <w:color w:val="auto"/>
              </w:rPr>
            </w:pPr>
          </w:p>
        </w:tc>
      </w:tr>
      <w:tr>
        <w:trPr>
          <w:trHeight w:val="169"/>
        </w:trPr>
        <w:tc>
          <w:tcPr>
            <w:tcW w:w="8040" w:type="dxa"/>
            <w:vAlign w:val="bottom"/>
          </w:tcPr>
          <w:p>
            <w:pPr>
              <w:spacing w:after="0"/>
              <w:rPr>
                <w:sz w:val="14"/>
                <w:szCs w:val="14"/>
                <w:color w:val="auto"/>
              </w:rPr>
            </w:pP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RMB</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US$</w:t>
            </w:r>
          </w:p>
        </w:tc>
      </w:tr>
      <w:tr>
        <w:trPr>
          <w:trHeight w:val="193"/>
        </w:trPr>
        <w:tc>
          <w:tcPr>
            <w:tcW w:w="80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5,408,023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783,999</w:t>
            </w:r>
          </w:p>
        </w:tc>
        <w:tc>
          <w:tcPr>
            <w:tcW w:w="40" w:type="dxa"/>
            <w:vAlign w:val="bottom"/>
            <w:shd w:val="clear" w:color="auto" w:fill="CCEEFF"/>
          </w:tcPr>
          <w:p>
            <w:pPr>
              <w:spacing w:after="0"/>
              <w:rPr>
                <w:sz w:val="18"/>
                <w:szCs w:val="18"/>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deposits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3,112,207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2,856,680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414,132</w:t>
            </w:r>
          </w:p>
        </w:tc>
        <w:tc>
          <w:tcPr>
            <w:tcW w:w="40" w:type="dxa"/>
            <w:vAlign w:val="bottom"/>
          </w:tcPr>
          <w:p>
            <w:pPr>
              <w:spacing w:after="0"/>
              <w:rPr>
                <w:sz w:val="18"/>
                <w:szCs w:val="18"/>
                <w:color w:val="auto"/>
              </w:rPr>
            </w:pP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103,470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162,778</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23,598</w:t>
            </w:r>
          </w:p>
        </w:tc>
      </w:tr>
      <w:tr>
        <w:trPr>
          <w:trHeight w:val="195"/>
        </w:trPr>
        <w:tc>
          <w:tcPr>
            <w:tcW w:w="804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RMB18,623 and RMB18,958 as of</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2"/>
        </w:trPr>
        <w:tc>
          <w:tcPr>
            <w:tcW w:w="8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2025 and March 31, 2026, respectively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246,208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416,065</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60,317</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21,751</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18,433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40" w:type="dxa"/>
            <w:vAlign w:val="bottom"/>
          </w:tcPr>
          <w:p>
            <w:pPr>
              <w:spacing w:after="0"/>
              <w:rPr>
                <w:sz w:val="18"/>
                <w:szCs w:val="18"/>
                <w:color w:val="auto"/>
              </w:rPr>
            </w:pP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754,846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109,430</w:t>
            </w:r>
          </w:p>
        </w:tc>
        <w:tc>
          <w:tcPr>
            <w:tcW w:w="40" w:type="dxa"/>
            <w:vAlign w:val="bottom"/>
            <w:shd w:val="clear" w:color="auto" w:fill="CCEEFF"/>
          </w:tcPr>
          <w:p>
            <w:pPr>
              <w:spacing w:after="0"/>
              <w:rPr>
                <w:sz w:val="18"/>
                <w:szCs w:val="18"/>
                <w:color w:val="auto"/>
              </w:rPr>
            </w:pPr>
          </w:p>
        </w:tc>
      </w:tr>
      <w:tr>
        <w:trPr>
          <w:trHeight w:val="22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9,736,830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9,720,295</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1,409,148</w:t>
            </w:r>
          </w:p>
        </w:tc>
        <w:tc>
          <w:tcPr>
            <w:tcW w:w="40" w:type="dxa"/>
            <w:vAlign w:val="bottom"/>
          </w:tcPr>
          <w:p>
            <w:pPr>
              <w:spacing w:after="0"/>
              <w:rPr>
                <w:sz w:val="19"/>
                <w:szCs w:val="19"/>
                <w:color w:val="auto"/>
              </w:rPr>
            </w:pP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deposits</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40" w:type="dxa"/>
            <w:vAlign w:val="bottom"/>
            <w:shd w:val="clear" w:color="auto" w:fill="CCEEFF"/>
          </w:tcPr>
          <w:p>
            <w:pPr>
              <w:spacing w:after="0"/>
              <w:rPr>
                <w:sz w:val="18"/>
                <w:szCs w:val="18"/>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net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118,799</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78,356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40" w:type="dxa"/>
            <w:vAlign w:val="bottom"/>
          </w:tcPr>
          <w:p>
            <w:pPr>
              <w:spacing w:after="0"/>
              <w:rPr>
                <w:sz w:val="18"/>
                <w:szCs w:val="18"/>
                <w:color w:val="auto"/>
              </w:rPr>
            </w:pP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1,408,232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204,151</w:t>
            </w:r>
          </w:p>
        </w:tc>
        <w:tc>
          <w:tcPr>
            <w:tcW w:w="40" w:type="dxa"/>
            <w:vAlign w:val="bottom"/>
            <w:shd w:val="clear" w:color="auto" w:fill="CCEEFF"/>
          </w:tcPr>
          <w:p>
            <w:pPr>
              <w:spacing w:after="0"/>
              <w:rPr>
                <w:sz w:val="18"/>
                <w:szCs w:val="18"/>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225,481</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32,688</w:t>
            </w: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deposits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investments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1,526,586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221,308</w:t>
            </w:r>
          </w:p>
        </w:tc>
        <w:tc>
          <w:tcPr>
            <w:tcW w:w="40" w:type="dxa"/>
            <w:vAlign w:val="bottom"/>
          </w:tcPr>
          <w:p>
            <w:pPr>
              <w:spacing w:after="0"/>
              <w:rPr>
                <w:sz w:val="18"/>
                <w:szCs w:val="18"/>
                <w:color w:val="auto"/>
              </w:rPr>
            </w:pP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114,384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115,408</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16,731</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34,614</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40" w:type="dxa"/>
            <w:vAlign w:val="bottom"/>
          </w:tcPr>
          <w:p>
            <w:pPr>
              <w:spacing w:after="0"/>
              <w:rPr>
                <w:sz w:val="18"/>
                <w:szCs w:val="18"/>
                <w:color w:val="auto"/>
              </w:rPr>
            </w:pP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579,765</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84,048</w:t>
            </w:r>
          </w:p>
        </w:tc>
      </w:tr>
      <w:tr>
        <w:trPr>
          <w:trHeight w:val="220"/>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13,779,299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13,725,038</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1,989,713</w:t>
            </w:r>
          </w:p>
        </w:tc>
        <w:tc>
          <w:tcPr>
            <w:tcW w:w="4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569,131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82,506</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468,313</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67,891</w:t>
            </w: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769,462</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111,549</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83,590</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58,752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40" w:type="dxa"/>
            <w:vAlign w:val="bottom"/>
          </w:tcPr>
          <w:p>
            <w:pPr>
              <w:spacing w:after="0"/>
              <w:rPr>
                <w:sz w:val="18"/>
                <w:szCs w:val="18"/>
                <w:color w:val="auto"/>
              </w:rPr>
            </w:pP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44,787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35,198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40" w:type="dxa"/>
            <w:vAlign w:val="bottom"/>
            <w:shd w:val="clear" w:color="auto" w:fill="CCEEFF"/>
          </w:tcPr>
          <w:p>
            <w:pPr>
              <w:spacing w:after="0"/>
              <w:rPr>
                <w:sz w:val="18"/>
                <w:szCs w:val="18"/>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consideration in connection with business acquisitions-current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47,839</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47,180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40" w:type="dxa"/>
            <w:vAlign w:val="bottom"/>
          </w:tcPr>
          <w:p>
            <w:pPr>
              <w:spacing w:after="0"/>
              <w:rPr>
                <w:sz w:val="18"/>
                <w:szCs w:val="18"/>
                <w:color w:val="auto"/>
              </w:rPr>
            </w:pP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borrowings, current portion</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1,957</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r>
      <w:tr>
        <w:trPr>
          <w:trHeight w:val="22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284,426</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41,233</w:t>
            </w:r>
          </w:p>
        </w:tc>
      </w:tr>
      <w:tr>
        <w:trPr>
          <w:trHeight w:val="213"/>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2,079,791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2,234,419</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323,923</w:t>
            </w:r>
          </w:p>
        </w:tc>
        <w:tc>
          <w:tcPr>
            <w:tcW w:w="40" w:type="dxa"/>
            <w:vAlign w:val="bottom"/>
            <w:shd w:val="clear" w:color="auto" w:fill="CCEEFF"/>
          </w:tcPr>
          <w:p>
            <w:pPr>
              <w:spacing w:after="0"/>
              <w:rPr>
                <w:sz w:val="18"/>
                <w:szCs w:val="18"/>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39,986</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27,708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40" w:type="dxa"/>
            <w:vAlign w:val="bottom"/>
          </w:tcPr>
          <w:p>
            <w:pPr>
              <w:spacing w:after="0"/>
              <w:rPr>
                <w:sz w:val="18"/>
                <w:szCs w:val="18"/>
                <w:color w:val="auto"/>
              </w:rPr>
            </w:pP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550,249</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79,769</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borrowings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r>
      <w:tr>
        <w:trPr>
          <w:trHeight w:val="21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39,605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49,661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40" w:type="dxa"/>
            <w:vAlign w:val="bottom"/>
            <w:shd w:val="clear" w:color="auto" w:fill="CCEEFF"/>
          </w:tcPr>
          <w:p>
            <w:pPr>
              <w:spacing w:after="0"/>
              <w:rPr>
                <w:sz w:val="18"/>
                <w:szCs w:val="18"/>
                <w:color w:val="auto"/>
              </w:rPr>
            </w:pPr>
          </w:p>
        </w:tc>
      </w:tr>
      <w:tr>
        <w:trPr>
          <w:trHeight w:val="22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2,694,511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2,864,361</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415,245</w:t>
            </w:r>
          </w:p>
        </w:tc>
        <w:tc>
          <w:tcPr>
            <w:tcW w:w="40" w:type="dxa"/>
            <w:vAlign w:val="bottom"/>
          </w:tcPr>
          <w:p>
            <w:pPr>
              <w:spacing w:after="0"/>
              <w:rPr>
                <w:sz w:val="19"/>
                <w:szCs w:val="19"/>
                <w:color w:val="auto"/>
              </w:rPr>
            </w:pPr>
          </w:p>
        </w:tc>
      </w:tr>
      <w:tr>
        <w:trPr>
          <w:trHeight w:val="213"/>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 (ii)</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11,084,788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10,860,677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1,574,468</w:t>
            </w:r>
          </w:p>
        </w:tc>
        <w:tc>
          <w:tcPr>
            <w:tcW w:w="40" w:type="dxa"/>
            <w:vAlign w:val="bottom"/>
            <w:shd w:val="clear" w:color="auto" w:fill="CCEEFF"/>
          </w:tcPr>
          <w:p>
            <w:pPr>
              <w:spacing w:after="0"/>
              <w:rPr>
                <w:sz w:val="18"/>
                <w:szCs w:val="18"/>
                <w:color w:val="auto"/>
              </w:rPr>
            </w:pPr>
          </w:p>
        </w:tc>
      </w:tr>
      <w:tr>
        <w:trPr>
          <w:trHeight w:val="220"/>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13,779,299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13,725,038</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1,989,713</w:t>
            </w:r>
          </w:p>
        </w:tc>
        <w:tc>
          <w:tcPr>
            <w:tcW w:w="4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As of March 31, 2026, the number of ordinary shares outstanding was 295,494,802.</w:t>
      </w:r>
    </w:p>
    <w:p>
      <w:pPr>
        <w:spacing w:after="0" w:line="15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500" w:top="264" w:right="5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Hello Group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Three months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8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Ended 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7"/>
        </w:trPr>
        <w:tc>
          <w:tcPr>
            <w:tcW w:w="8120" w:type="dxa"/>
            <w:vAlign w:val="bottom"/>
          </w:tcPr>
          <w:p>
            <w:pPr>
              <w:spacing w:after="0"/>
              <w:rPr>
                <w:sz w:val="10"/>
                <w:szCs w:val="10"/>
                <w:color w:val="auto"/>
              </w:rPr>
            </w:pPr>
          </w:p>
        </w:tc>
        <w:tc>
          <w:tcPr>
            <w:tcW w:w="820" w:type="dxa"/>
            <w:vAlign w:val="bottom"/>
          </w:tcPr>
          <w:p>
            <w:pPr>
              <w:jc w:val="right"/>
              <w:ind w:right="192"/>
              <w:spacing w:after="0" w:line="118" w:lineRule="exact"/>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0"/>
                <w:szCs w:val="10"/>
                <w:color w:val="auto"/>
              </w:rPr>
            </w:pPr>
          </w:p>
        </w:tc>
        <w:tc>
          <w:tcPr>
            <w:tcW w:w="900" w:type="dxa"/>
            <w:vAlign w:val="bottom"/>
            <w:gridSpan w:val="2"/>
          </w:tcPr>
          <w:p>
            <w:pPr>
              <w:jc w:val="right"/>
              <w:ind w:right="153"/>
              <w:spacing w:after="0" w:line="118" w:lineRule="exact"/>
              <w:rPr>
                <w:sz w:val="20"/>
                <w:szCs w:val="20"/>
                <w:color w:val="auto"/>
              </w:rPr>
            </w:pPr>
            <w:r>
              <w:rPr>
                <w:rFonts w:ascii="Times New Roman" w:cs="Times New Roman" w:eastAsia="Times New Roman" w:hAnsi="Times New Roman"/>
                <w:sz w:val="13"/>
                <w:szCs w:val="13"/>
                <w:color w:val="auto"/>
              </w:rPr>
              <w:t>2026</w:t>
            </w:r>
          </w:p>
        </w:tc>
        <w:tc>
          <w:tcPr>
            <w:tcW w:w="220" w:type="dxa"/>
            <w:vAlign w:val="bottom"/>
          </w:tcPr>
          <w:p>
            <w:pPr>
              <w:spacing w:after="0"/>
              <w:rPr>
                <w:sz w:val="10"/>
                <w:szCs w:val="10"/>
                <w:color w:val="auto"/>
              </w:rPr>
            </w:pPr>
          </w:p>
        </w:tc>
        <w:tc>
          <w:tcPr>
            <w:tcW w:w="640" w:type="dxa"/>
            <w:vAlign w:val="bottom"/>
          </w:tcPr>
          <w:p>
            <w:pPr>
              <w:jc w:val="right"/>
              <w:ind w:right="92"/>
              <w:spacing w:after="0" w:line="118" w:lineRule="exact"/>
              <w:rPr>
                <w:sz w:val="20"/>
                <w:szCs w:val="20"/>
                <w:color w:val="auto"/>
              </w:rPr>
            </w:pPr>
            <w:r>
              <w:rPr>
                <w:rFonts w:ascii="Times New Roman" w:cs="Times New Roman" w:eastAsia="Times New Roman" w:hAnsi="Times New Roman"/>
                <w:sz w:val="13"/>
                <w:szCs w:val="13"/>
                <w:color w:val="auto"/>
              </w:rPr>
              <w:t>2026</w:t>
            </w:r>
          </w:p>
        </w:tc>
        <w:tc>
          <w:tcPr>
            <w:tcW w:w="100" w:type="dxa"/>
            <w:vAlign w:val="bottom"/>
          </w:tcPr>
          <w:p>
            <w:pPr>
              <w:spacing w:after="0"/>
              <w:rPr>
                <w:sz w:val="10"/>
                <w:szCs w:val="10"/>
                <w:color w:val="auto"/>
              </w:rPr>
            </w:pPr>
          </w:p>
        </w:tc>
      </w:tr>
      <w:tr>
        <w:trPr>
          <w:trHeight w:val="169"/>
        </w:trPr>
        <w:tc>
          <w:tcPr>
            <w:tcW w:w="8120" w:type="dxa"/>
            <w:vAlign w:val="bottom"/>
          </w:tcPr>
          <w:p>
            <w:pPr>
              <w:spacing w:after="0"/>
              <w:rPr>
                <w:sz w:val="14"/>
                <w:szCs w:val="14"/>
                <w:color w:val="auto"/>
              </w:rPr>
            </w:pPr>
          </w:p>
        </w:tc>
        <w:tc>
          <w:tcPr>
            <w:tcW w:w="90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RMB</w:t>
            </w:r>
          </w:p>
        </w:tc>
        <w:tc>
          <w:tcPr>
            <w:tcW w:w="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RMB</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US$</w:t>
            </w:r>
          </w:p>
        </w:tc>
      </w:tr>
      <w:tr>
        <w:trPr>
          <w:trHeight w:val="193"/>
        </w:trPr>
        <w:tc>
          <w:tcPr>
            <w:tcW w:w="81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358,489</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291,501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42,259</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12,391</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15,828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2,295</w:t>
            </w:r>
          </w:p>
        </w:tc>
      </w:tr>
      <w:tr>
        <w:trPr>
          <w:trHeight w:val="213"/>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6,191</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9,410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1,364</w:t>
            </w:r>
          </w:p>
        </w:tc>
      </w:tr>
      <w:tr>
        <w:trPr>
          <w:trHeight w:val="21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40,860</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31,305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4,539</w:t>
            </w:r>
          </w:p>
        </w:tc>
      </w:tr>
      <w:tr>
        <w:trPr>
          <w:trHeight w:val="213"/>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 of income on equity method investments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(39,731)</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(8,538)</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(1,238)</w:t>
            </w:r>
          </w:p>
        </w:tc>
      </w:tr>
      <w:tr>
        <w:trPr>
          <w:trHeight w:val="21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or loss on fair value changes of short-term investments</w:t>
            </w:r>
          </w:p>
        </w:tc>
        <w:tc>
          <w:tcPr>
            <w:tcW w:w="9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3"/>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Returns on investments</w:t>
            </w:r>
          </w:p>
        </w:tc>
        <w:tc>
          <w:tcPr>
            <w:tcW w:w="9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or loss on disposal of property and equipment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3"/>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of loss on receivable and other assets</w:t>
            </w:r>
          </w:p>
        </w:tc>
        <w:tc>
          <w:tcPr>
            <w:tcW w:w="9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5,405</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(171,970)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(24,930)</w:t>
            </w:r>
          </w:p>
        </w:tc>
      </w:tr>
      <w:tr>
        <w:trPr>
          <w:trHeight w:val="21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11,375</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53,628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7,774</w:t>
            </w:r>
          </w:p>
        </w:tc>
      </w:tr>
      <w:tr>
        <w:trPr>
          <w:trHeight w:val="213"/>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9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Rental deposits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 assets</w:t>
            </w:r>
          </w:p>
        </w:tc>
        <w:tc>
          <w:tcPr>
            <w:tcW w:w="9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340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35,046</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38,767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5,620</w:t>
            </w:r>
          </w:p>
        </w:tc>
      </w:tr>
      <w:tr>
        <w:trPr>
          <w:trHeight w:val="213"/>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(14,677)</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(2,128)</w:t>
            </w:r>
          </w:p>
        </w:tc>
      </w:tr>
      <w:tr>
        <w:trPr>
          <w:trHeight w:val="21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(100,979)</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(9,516)</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w:t>
            </w:r>
          </w:p>
        </w:tc>
      </w:tr>
      <w:tr>
        <w:trPr>
          <w:trHeight w:val="213"/>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9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9,035</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1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(70,983)</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(95,293)</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(13,815)</w:t>
            </w:r>
          </w:p>
        </w:tc>
      </w:tr>
      <w:tr>
        <w:trPr>
          <w:trHeight w:val="213"/>
        </w:trPr>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12,713</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2,743</w:t>
            </w:r>
          </w:p>
        </w:tc>
      </w:tr>
      <w:tr>
        <w:trPr>
          <w:trHeight w:val="21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(1,266)</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8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239,721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158,904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23,036</w:t>
            </w:r>
          </w:p>
        </w:tc>
      </w:tr>
      <w:tr>
        <w:trPr>
          <w:trHeight w:val="21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(15,161)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(2,198)</w:t>
            </w: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for long-term investments</w:t>
            </w:r>
          </w:p>
        </w:tc>
        <w:tc>
          <w:tcPr>
            <w:tcW w:w="9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(18,000)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(2,609)</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business acquisition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(194,390)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term deposits</w:t>
            </w:r>
          </w:p>
        </w:tc>
        <w:tc>
          <w:tcPr>
            <w:tcW w:w="9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(110,000)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(15,947)</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received on maturity of term deposits</w:t>
            </w:r>
          </w:p>
        </w:tc>
        <w:tc>
          <w:tcPr>
            <w:tcW w:w="9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1,257,245</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326,904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47,391</w:t>
            </w: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for short-term investments</w:t>
            </w:r>
          </w:p>
        </w:tc>
        <w:tc>
          <w:tcPr>
            <w:tcW w:w="9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(40,798)</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(5,914)</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Returns of investments</w:t>
            </w:r>
          </w:p>
        </w:tc>
        <w:tc>
          <w:tcPr>
            <w:tcW w:w="9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 to a third-party company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to a related party</w:t>
            </w:r>
          </w:p>
        </w:tc>
        <w:tc>
          <w:tcPr>
            <w:tcW w:w="9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w:t>
            </w: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received from repayment of loans to a related party</w:t>
            </w:r>
          </w:p>
        </w:tc>
        <w:tc>
          <w:tcPr>
            <w:tcW w:w="9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7,390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192</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r>
      <w:tr>
        <w:trPr>
          <w:trHeight w:val="220"/>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1,007,755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147,805</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21,427</w:t>
            </w:r>
          </w:p>
        </w:tc>
        <w:tc>
          <w:tcPr>
            <w:tcW w:w="100" w:type="dxa"/>
            <w:vAlign w:val="bottom"/>
          </w:tcPr>
          <w:p>
            <w:pPr>
              <w:spacing w:after="0"/>
              <w:rPr>
                <w:sz w:val="19"/>
                <w:szCs w:val="19"/>
                <w:color w:val="auto"/>
              </w:rPr>
            </w:pPr>
          </w:p>
        </w:tc>
      </w:tr>
      <w:tr>
        <w:trPr>
          <w:trHeight w:val="213"/>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9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(201,529)</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(187,184)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(27,136)</w:t>
            </w: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 payment for acquisition of non-controlling interest</w:t>
            </w:r>
          </w:p>
        </w:tc>
        <w:tc>
          <w:tcPr>
            <w:tcW w:w="9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(20,918)</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(3,032)</w:t>
            </w:r>
          </w:p>
        </w:tc>
      </w:tr>
      <w:tr>
        <w:trPr>
          <w:trHeight w:val="21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(1,690,535)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long-term borrowings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8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(1,892,457)</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(208,831)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(30,274)</w:t>
            </w:r>
          </w:p>
        </w:tc>
      </w:tr>
      <w:tr>
        <w:trPr>
          <w:trHeight w:val="21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(25,685)</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(27,019)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(3,916)</w:t>
            </w:r>
          </w:p>
        </w:tc>
      </w:tr>
      <w:tr>
        <w:trPr>
          <w:trHeight w:val="27"/>
        </w:trPr>
        <w:tc>
          <w:tcPr>
            <w:tcW w:w="8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(670,666)</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70,859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10,273</w:t>
            </w:r>
          </w:p>
        </w:tc>
      </w:tr>
      <w:tr>
        <w:trPr>
          <w:trHeight w:val="21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9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9,642,421</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5,440,634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788,726</w:t>
            </w:r>
          </w:p>
        </w:tc>
      </w:tr>
      <w:tr>
        <w:trPr>
          <w:trHeight w:val="213"/>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9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8,971,755</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5,511,493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798,999</w:t>
            </w:r>
          </w:p>
        </w:tc>
      </w:tr>
      <w:tr>
        <w:trPr>
          <w:trHeight w:val="361"/>
        </w:trPr>
        <w:tc>
          <w:tcPr>
            <w:tcW w:w="812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80"/>
          </w:cols>
          <w:pgMar w:left="500" w:top="264" w:right="519" w:bottom="1440" w:gutter="0" w:footer="0" w:header="0"/>
        </w:sectPr>
      </w:pPr>
    </w:p>
    <w:bookmarkStart w:id="13" w:name="page14"/>
    <w:bookmarkEnd w:id="13"/>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Hello Group Inc.</w:t>
      </w:r>
    </w:p>
    <w:p>
      <w:pPr>
        <w:spacing w:after="0" w:line="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comparable GAAP measures</w:t>
      </w:r>
    </w:p>
    <w:p>
      <w:pPr>
        <w:spacing w:after="0" w:line="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(All amounts in thousands, except per share data)</w:t>
      </w:r>
    </w:p>
    <w:p>
      <w:pPr>
        <w:spacing w:after="0" w:line="228" w:lineRule="exact"/>
        <w:rPr>
          <w:sz w:val="20"/>
          <w:szCs w:val="20"/>
          <w:color w:val="auto"/>
        </w:rPr>
      </w:pPr>
    </w:p>
    <w:p>
      <w:pPr>
        <w:ind w:left="420" w:hanging="420"/>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Non-GAAP cost and operating expenses, income from operations, and net income to comparable GAAP measures.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color w:val="auto"/>
              </w:rPr>
              <w:t>Three months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rPr>
              <w:t>Three months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Three months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2"/>
        </w:trPr>
        <w:tc>
          <w:tcPr>
            <w:tcW w:w="9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2"/>
                <w:szCs w:val="12"/>
                <w:color w:val="auto"/>
              </w:rPr>
              <w:t>Ended March 31, 2025</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2"/>
                <w:szCs w:val="12"/>
                <w:color w:val="auto"/>
              </w:rPr>
              <w:t>Ended March 31, 2026</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2"/>
                <w:szCs w:val="12"/>
                <w:color w:val="auto"/>
              </w:rPr>
              <w:t>Ended March 31, 2026</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09"/>
        </w:trPr>
        <w:tc>
          <w:tcPr>
            <w:tcW w:w="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Amortization</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Amortization</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80"/>
              <w:spacing w:after="0" w:line="109" w:lineRule="exact"/>
              <w:rPr>
                <w:sz w:val="20"/>
                <w:szCs w:val="20"/>
                <w:color w:val="auto"/>
              </w:rPr>
            </w:pPr>
            <w:r>
              <w:rPr>
                <w:rFonts w:ascii="Times New Roman" w:cs="Times New Roman" w:eastAsia="Times New Roman" w:hAnsi="Times New Roman"/>
                <w:sz w:val="12"/>
                <w:szCs w:val="12"/>
                <w:color w:val="auto"/>
              </w:rPr>
              <w:t>Amortization</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of intangible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of intangible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of intangible</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assets from</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assets from</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assets from</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business</w:t>
            </w:r>
          </w:p>
        </w:tc>
        <w:tc>
          <w:tcPr>
            <w:tcW w:w="80" w:type="dxa"/>
            <w:vAlign w:val="bottom"/>
          </w:tcPr>
          <w:p>
            <w:pPr>
              <w:spacing w:after="0"/>
              <w:rPr>
                <w:sz w:val="11"/>
                <w:szCs w:val="11"/>
                <w:color w:val="auto"/>
              </w:rPr>
            </w:pPr>
          </w:p>
        </w:tc>
        <w:tc>
          <w:tcPr>
            <w:tcW w:w="7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Share-based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business</w:t>
            </w:r>
          </w:p>
        </w:tc>
        <w:tc>
          <w:tcPr>
            <w:tcW w:w="80" w:type="dxa"/>
            <w:vAlign w:val="bottom"/>
          </w:tcPr>
          <w:p>
            <w:pPr>
              <w:spacing w:after="0"/>
              <w:rPr>
                <w:sz w:val="11"/>
                <w:szCs w:val="11"/>
                <w:color w:val="auto"/>
              </w:rPr>
            </w:pPr>
          </w:p>
        </w:tc>
        <w:tc>
          <w:tcPr>
            <w:tcW w:w="7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rPr>
              <w:t>Share-based</w:t>
            </w:r>
          </w:p>
        </w:tc>
        <w:tc>
          <w:tcPr>
            <w:tcW w:w="7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w w:val="96"/>
              </w:rPr>
              <w:t>Tax</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business</w:t>
            </w:r>
          </w:p>
        </w:tc>
        <w:tc>
          <w:tcPr>
            <w:tcW w:w="6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Share-based</w:t>
            </w: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Tax</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940" w:type="dxa"/>
            <w:vAlign w:val="bottom"/>
          </w:tcPr>
          <w:p>
            <w:pPr>
              <w:spacing w:after="0"/>
              <w:rPr>
                <w:sz w:val="11"/>
                <w:szCs w:val="11"/>
                <w:color w:val="auto"/>
              </w:rPr>
            </w:pPr>
          </w:p>
        </w:tc>
        <w:tc>
          <w:tcPr>
            <w:tcW w:w="760" w:type="dxa"/>
            <w:vAlign w:val="bottom"/>
            <w:gridSpan w:val="2"/>
          </w:tcPr>
          <w:p>
            <w:pPr>
              <w:jc w:val="right"/>
              <w:ind w:right="260"/>
              <w:spacing w:after="0" w:line="134" w:lineRule="exact"/>
              <w:rPr>
                <w:sz w:val="20"/>
                <w:szCs w:val="20"/>
                <w:color w:val="auto"/>
              </w:rPr>
            </w:pPr>
            <w:r>
              <w:rPr>
                <w:rFonts w:ascii="Times New Roman" w:cs="Times New Roman" w:eastAsia="Times New Roman" w:hAnsi="Times New Roman"/>
                <w:sz w:val="12"/>
                <w:szCs w:val="12"/>
                <w:color w:val="auto"/>
              </w:rPr>
              <w:t>GAAP</w:t>
            </w: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acquisitions</w:t>
            </w:r>
          </w:p>
        </w:tc>
        <w:tc>
          <w:tcPr>
            <w:tcW w:w="80" w:type="dxa"/>
            <w:vAlign w:val="bottom"/>
          </w:tcPr>
          <w:p>
            <w:pPr>
              <w:spacing w:after="0"/>
              <w:rPr>
                <w:sz w:val="11"/>
                <w:szCs w:val="11"/>
                <w:color w:val="auto"/>
              </w:rPr>
            </w:pPr>
          </w:p>
        </w:tc>
        <w:tc>
          <w:tcPr>
            <w:tcW w:w="7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compensation</w:t>
            </w:r>
          </w:p>
        </w:tc>
        <w:tc>
          <w:tcPr>
            <w:tcW w:w="74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Non-GAAP</w:t>
            </w:r>
          </w:p>
        </w:tc>
        <w:tc>
          <w:tcPr>
            <w:tcW w:w="760" w:type="dxa"/>
            <w:vAlign w:val="bottom"/>
            <w:gridSpan w:val="2"/>
          </w:tcPr>
          <w:p>
            <w:pPr>
              <w:jc w:val="right"/>
              <w:ind w:right="280"/>
              <w:spacing w:after="0" w:line="134" w:lineRule="exact"/>
              <w:rPr>
                <w:sz w:val="20"/>
                <w:szCs w:val="20"/>
                <w:color w:val="auto"/>
              </w:rPr>
            </w:pPr>
            <w:r>
              <w:rPr>
                <w:rFonts w:ascii="Times New Roman" w:cs="Times New Roman" w:eastAsia="Times New Roman" w:hAnsi="Times New Roman"/>
                <w:sz w:val="12"/>
                <w:szCs w:val="12"/>
                <w:color w:val="auto"/>
              </w:rPr>
              <w:t>GAAP</w:t>
            </w: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acquisitions</w:t>
            </w:r>
          </w:p>
        </w:tc>
        <w:tc>
          <w:tcPr>
            <w:tcW w:w="80" w:type="dxa"/>
            <w:vAlign w:val="bottom"/>
          </w:tcPr>
          <w:p>
            <w:pPr>
              <w:spacing w:after="0"/>
              <w:rPr>
                <w:sz w:val="11"/>
                <w:szCs w:val="11"/>
                <w:color w:val="auto"/>
              </w:rPr>
            </w:pPr>
          </w:p>
        </w:tc>
        <w:tc>
          <w:tcPr>
            <w:tcW w:w="7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rPr>
              <w:t>compensation</w:t>
            </w:r>
          </w:p>
        </w:tc>
        <w:tc>
          <w:tcPr>
            <w:tcW w:w="7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impacts(iii)</w:t>
            </w:r>
          </w:p>
        </w:tc>
        <w:tc>
          <w:tcPr>
            <w:tcW w:w="74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Non-GAAP</w:t>
            </w:r>
          </w:p>
        </w:tc>
        <w:tc>
          <w:tcPr>
            <w:tcW w:w="64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2"/>
                <w:szCs w:val="12"/>
                <w:color w:val="auto"/>
              </w:rPr>
              <w:t>GAAP</w:t>
            </w:r>
          </w:p>
        </w:tc>
        <w:tc>
          <w:tcPr>
            <w:tcW w:w="76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acquisitions</w:t>
            </w:r>
          </w:p>
        </w:tc>
        <w:tc>
          <w:tcPr>
            <w:tcW w:w="6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compensation</w:t>
            </w: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impacts(iii)</w:t>
            </w:r>
          </w:p>
        </w:tc>
        <w:tc>
          <w:tcPr>
            <w:tcW w:w="620" w:type="dxa"/>
            <w:vAlign w:val="bottom"/>
            <w:gridSpan w:val="2"/>
          </w:tcPr>
          <w:p>
            <w:pPr>
              <w:jc w:val="center"/>
              <w:ind w:right="20"/>
              <w:spacing w:after="0" w:line="134" w:lineRule="exact"/>
              <w:rPr>
                <w:sz w:val="20"/>
                <w:szCs w:val="20"/>
                <w:color w:val="auto"/>
              </w:rPr>
            </w:pPr>
            <w:r>
              <w:rPr>
                <w:rFonts w:ascii="Times New Roman" w:cs="Times New Roman" w:eastAsia="Times New Roman" w:hAnsi="Times New Roman"/>
                <w:sz w:val="12"/>
                <w:szCs w:val="12"/>
                <w:color w:val="auto"/>
              </w:rPr>
              <w:t>Non-GAAP</w:t>
            </w:r>
          </w:p>
        </w:tc>
      </w:tr>
      <w:tr>
        <w:trPr>
          <w:trHeight w:val="152"/>
        </w:trPr>
        <w:tc>
          <w:tcPr>
            <w:tcW w:w="94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RMB</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RMB</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RMB</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RMB</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RMB</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rPr>
              <w:t>RMB</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RMB</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US$</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US$</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US$</w:t>
            </w:r>
          </w:p>
        </w:tc>
        <w:tc>
          <w:tcPr>
            <w:tcW w:w="8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US$</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rPr>
              <w:t>US$</w:t>
            </w:r>
          </w:p>
        </w:tc>
      </w:tr>
      <w:tr>
        <w:trPr>
          <w:trHeight w:val="140"/>
        </w:trPr>
        <w:tc>
          <w:tcPr>
            <w:tcW w:w="940" w:type="dxa"/>
            <w:vAlign w:val="bottom"/>
            <w:tcBorders>
              <w:top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Cost of revenues</w:t>
            </w: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(1,569,074)</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1,263</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1,774</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w w:val="98"/>
              </w:rPr>
              <w:t>(1,566,037)</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(1,463,328)</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1,583</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2,526</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380"/>
              <w:spacing w:after="0" w:line="140"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w w:val="98"/>
              </w:rPr>
              <w:t>(1,459,219)</w:t>
            </w: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w w:val="98"/>
              </w:rPr>
              <w:t>(212,138)</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229</w:t>
            </w: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366</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ind w:left="400"/>
              <w:spacing w:after="0" w:line="140"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(211,543</w:t>
            </w:r>
          </w:p>
        </w:tc>
        <w:tc>
          <w:tcPr>
            <w:tcW w:w="20" w:type="dxa"/>
            <w:vAlign w:val="bottom"/>
            <w:tcBorders>
              <w:top w:val="single" w:sz="8" w:color="CCEEFF"/>
            </w:tcBorders>
            <w:shd w:val="clear" w:color="auto" w:fill="CCEEFF"/>
          </w:tcPr>
          <w:p>
            <w:pPr>
              <w:spacing w:after="0"/>
              <w:rPr>
                <w:sz w:val="12"/>
                <w:szCs w:val="12"/>
                <w:color w:val="auto"/>
              </w:rPr>
            </w:pPr>
          </w:p>
        </w:tc>
      </w:tr>
      <w:tr>
        <w:trPr>
          <w:trHeight w:val="134"/>
        </w:trPr>
        <w:tc>
          <w:tcPr>
            <w:tcW w:w="94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Research and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development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(195,769)</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9,060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(185,850)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(177,106)</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10,194</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(165,234)</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(25,675)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243</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80" w:type="dxa"/>
            <w:vAlign w:val="bottom"/>
          </w:tcPr>
          <w:p>
            <w:pPr>
              <w:spacing w:after="0"/>
              <w:rPr>
                <w:sz w:val="13"/>
                <w:szCs w:val="13"/>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(23,954</w:t>
            </w:r>
          </w:p>
        </w:tc>
        <w:tc>
          <w:tcPr>
            <w:tcW w:w="20" w:type="dxa"/>
            <w:vAlign w:val="bottom"/>
          </w:tcPr>
          <w:p>
            <w:pPr>
              <w:spacing w:after="0"/>
              <w:rPr>
                <w:sz w:val="13"/>
                <w:szCs w:val="13"/>
                <w:color w:val="auto"/>
              </w:rPr>
            </w:pPr>
          </w:p>
        </w:tc>
      </w:tr>
      <w:tr>
        <w:trPr>
          <w:trHeight w:val="134"/>
        </w:trPr>
        <w:tc>
          <w:tcPr>
            <w:tcW w:w="9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Sales and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0"/>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marketing</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(329,178)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2,790</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4,311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(322,077)</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(343,241)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4,869</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2,923</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(335,449)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(49,759)</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706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(48,629</w:t>
            </w:r>
          </w:p>
        </w:tc>
        <w:tc>
          <w:tcPr>
            <w:tcW w:w="20" w:type="dxa"/>
            <w:vAlign w:val="bottom"/>
            <w:shd w:val="clear" w:color="auto" w:fill="CCEEFF"/>
          </w:tcPr>
          <w:p>
            <w:pPr>
              <w:spacing w:after="0"/>
              <w:rPr>
                <w:sz w:val="13"/>
                <w:szCs w:val="13"/>
                <w:color w:val="auto"/>
              </w:rPr>
            </w:pPr>
          </w:p>
        </w:tc>
      </w:tr>
      <w:tr>
        <w:trPr>
          <w:trHeight w:val="134"/>
        </w:trPr>
        <w:tc>
          <w:tcPr>
            <w:tcW w:w="94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General and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6"/>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administrative</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(140,511)</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25,715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(114,796)</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(105,048)</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15,662</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(89,386)</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(15,229)</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80" w:type="dxa"/>
            <w:vAlign w:val="bottom"/>
          </w:tcPr>
          <w:p>
            <w:pPr>
              <w:spacing w:after="0"/>
              <w:rPr>
                <w:sz w:val="14"/>
                <w:szCs w:val="14"/>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(12,958</w:t>
            </w:r>
          </w:p>
        </w:tc>
        <w:tc>
          <w:tcPr>
            <w:tcW w:w="20" w:type="dxa"/>
            <w:vAlign w:val="bottom"/>
          </w:tcPr>
          <w:p>
            <w:pPr>
              <w:spacing w:after="0"/>
              <w:rPr>
                <w:sz w:val="14"/>
                <w:szCs w:val="14"/>
                <w:color w:val="auto"/>
              </w:rPr>
            </w:pPr>
          </w:p>
        </w:tc>
      </w:tr>
      <w:tr>
        <w:trPr>
          <w:trHeight w:val="130"/>
        </w:trPr>
        <w:tc>
          <w:tcPr>
            <w:tcW w:w="9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Cost and</w:t>
            </w: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7"/>
        </w:trPr>
        <w:tc>
          <w:tcPr>
            <w:tcW w:w="9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4"/>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(2,234,532)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4,912</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40,860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(2,188,760)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(2,088,723)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8,130</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31,305</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(2,049,288)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(302,801)</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1,178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4,539</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(297,084</w:t>
            </w:r>
          </w:p>
        </w:tc>
        <w:tc>
          <w:tcPr>
            <w:tcW w:w="20" w:type="dxa"/>
            <w:vAlign w:val="bottom"/>
            <w:shd w:val="clear" w:color="auto" w:fill="CCEEFF"/>
          </w:tcPr>
          <w:p>
            <w:pPr>
              <w:spacing w:after="0"/>
              <w:rPr>
                <w:sz w:val="14"/>
                <w:szCs w:val="14"/>
                <w:color w:val="auto"/>
              </w:rPr>
            </w:pPr>
          </w:p>
        </w:tc>
      </w:tr>
      <w:tr>
        <w:trPr>
          <w:trHeight w:val="134"/>
        </w:trPr>
        <w:tc>
          <w:tcPr>
            <w:tcW w:w="94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Income from</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299,485</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4,912</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40,860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345,257</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309,743</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8,130</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31,305</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349,178</w:t>
            </w:r>
          </w:p>
        </w:tc>
        <w:tc>
          <w:tcPr>
            <w:tcW w:w="1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44,904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1,178</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4,539</w:t>
            </w:r>
          </w:p>
        </w:tc>
        <w:tc>
          <w:tcPr>
            <w:tcW w:w="80" w:type="dxa"/>
            <w:vAlign w:val="bottom"/>
          </w:tcPr>
          <w:p>
            <w:pPr>
              <w:spacing w:after="0"/>
              <w:rPr>
                <w:sz w:val="13"/>
                <w:szCs w:val="13"/>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50,621</w:t>
            </w:r>
          </w:p>
        </w:tc>
        <w:tc>
          <w:tcPr>
            <w:tcW w:w="20" w:type="dxa"/>
            <w:vAlign w:val="bottom"/>
          </w:tcPr>
          <w:p>
            <w:pPr>
              <w:spacing w:after="0"/>
              <w:rPr>
                <w:sz w:val="13"/>
                <w:szCs w:val="13"/>
                <w:color w:val="auto"/>
              </w:rPr>
            </w:pPr>
          </w:p>
        </w:tc>
      </w:tr>
      <w:tr>
        <w:trPr>
          <w:trHeight w:val="134"/>
        </w:trPr>
        <w:tc>
          <w:tcPr>
            <w:tcW w:w="9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Net income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7"/>
        </w:trPr>
        <w:tc>
          <w:tcPr>
            <w:tcW w:w="9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attributable to</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7"/>
        </w:trPr>
        <w:tc>
          <w:tcPr>
            <w:tcW w:w="9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the</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7"/>
        </w:trPr>
        <w:tc>
          <w:tcPr>
            <w:tcW w:w="9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shareholders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7"/>
        </w:trPr>
        <w:tc>
          <w:tcPr>
            <w:tcW w:w="9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of Hello</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Group Inc.</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357,994</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4,912</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40,860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403,766</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291,048</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8,130</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31,305</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(1,653)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328,830</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42,193</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1,178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4,539</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47,670</w:t>
            </w:r>
          </w:p>
        </w:tc>
        <w:tc>
          <w:tcPr>
            <w:tcW w:w="20" w:type="dxa"/>
            <w:vAlign w:val="bottom"/>
            <w:shd w:val="clear" w:color="auto" w:fill="CCEEFF"/>
          </w:tcPr>
          <w:p>
            <w:pPr>
              <w:spacing w:after="0"/>
              <w:rPr>
                <w:sz w:val="13"/>
                <w:szCs w:val="13"/>
                <w:color w:val="auto"/>
              </w:rPr>
            </w:pPr>
          </w:p>
        </w:tc>
      </w:tr>
    </w:tbl>
    <w:p>
      <w:pPr>
        <w:spacing w:after="0" w:line="222" w:lineRule="exact"/>
        <w:rPr>
          <w:sz w:val="20"/>
          <w:szCs w:val="20"/>
          <w:color w:val="auto"/>
        </w:rPr>
      </w:pPr>
    </w:p>
    <w:p>
      <w:pPr>
        <w:ind w:left="420" w:right="820" w:hanging="420"/>
        <w:spacing w:after="0" w:line="277"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tax impacts related to the amortization of intangible assets from business acquisition. There is no tax impact related to share-based compensation.</w:t>
      </w:r>
    </w:p>
    <w:p>
      <w:pPr>
        <w:spacing w:after="0" w:line="9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160"/>
      </w:cols>
      <w:pgMar w:left="500" w:top="2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2026-06-02T06:34:53Z</dcterms:created>
  <dcterms:modified xsi:type="dcterms:W3CDTF">2026-06-02T06:34:53Z</dcterms:modified>
</cp:coreProperties>
</file>